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E4CA3" w:rsidRDefault="00000000">
      <w:pPr>
        <w:spacing w:line="312" w:lineRule="auto"/>
        <w:jc w:val="center"/>
        <w:rPr>
          <w:rFonts w:ascii="Arial" w:eastAsia="Arial" w:hAnsi="Arial" w:cs="Arial"/>
          <w:b/>
          <w:bCs/>
          <w:sz w:val="20"/>
          <w:szCs w:val="20"/>
        </w:rPr>
      </w:pPr>
      <w:bookmarkStart w:id="0" w:name="_heading=h.fwzuxm6r6256" w:colFirst="0" w:colLast="0"/>
      <w:bookmarkEnd w:id="0"/>
      <w:r>
        <w:rPr>
          <w:rFonts w:ascii="Arial" w:eastAsia="Arial" w:hAnsi="Arial" w:cs="Arial"/>
          <w:b/>
          <w:bCs/>
          <w:sz w:val="20"/>
          <w:szCs w:val="20"/>
        </w:rPr>
        <w:t>MODELO DE TERMO DE REFERÊNCIA</w:t>
      </w:r>
      <w:r>
        <w:rPr>
          <w:rFonts w:ascii="Arial" w:eastAsia="Arial" w:hAnsi="Arial" w:cs="Arial"/>
          <w:b/>
          <w:bCs/>
          <w:sz w:val="20"/>
          <w:szCs w:val="20"/>
        </w:rPr>
        <w:br/>
        <w:t>Lei nº 14.133, de 1º de abril de 2021</w:t>
      </w:r>
      <w:r>
        <w:rPr>
          <w:rFonts w:ascii="Arial" w:eastAsia="Arial" w:hAnsi="Arial" w:cs="Arial"/>
          <w:b/>
          <w:bCs/>
          <w:sz w:val="20"/>
          <w:szCs w:val="20"/>
        </w:rPr>
        <w:br/>
        <w:t>AQUISIÇÕES, EXCETO TIC</w:t>
      </w:r>
    </w:p>
    <w:p w14:paraId="00000002" w14:textId="77777777" w:rsidR="00FE4CA3" w:rsidRDefault="00000000">
      <w:pPr>
        <w:spacing w:after="72" w:line="312" w:lineRule="auto"/>
        <w:jc w:val="center"/>
        <w:rPr>
          <w:rFonts w:ascii="Arial" w:eastAsia="Arial" w:hAnsi="Arial" w:cs="Arial"/>
          <w:b/>
          <w:bCs/>
          <w:sz w:val="20"/>
          <w:szCs w:val="20"/>
        </w:rPr>
      </w:pPr>
      <w:r>
        <w:rPr>
          <w:rFonts w:ascii="Arial" w:eastAsia="Arial" w:hAnsi="Arial" w:cs="Arial"/>
          <w:b/>
          <w:bCs/>
          <w:sz w:val="20"/>
          <w:szCs w:val="20"/>
        </w:rPr>
        <w:t>LICITAÇÃO E CONTRATAÇÃO DIRETA</w:t>
      </w:r>
    </w:p>
    <w:p w14:paraId="00000003" w14:textId="77777777" w:rsidR="00FE4CA3" w:rsidRDefault="00000000">
      <w:pPr>
        <w:spacing w:before="72" w:after="288" w:line="312" w:lineRule="auto"/>
        <w:jc w:val="center"/>
        <w:rPr>
          <w:rFonts w:ascii="Arial" w:eastAsia="Arial" w:hAnsi="Arial" w:cs="Arial"/>
          <w:b/>
          <w:bCs/>
          <w:sz w:val="20"/>
          <w:szCs w:val="20"/>
        </w:rPr>
      </w:pPr>
      <w:r>
        <w:rPr>
          <w:rFonts w:ascii="Arial" w:eastAsia="Arial" w:hAnsi="Arial" w:cs="Arial"/>
          <w:b/>
          <w:bCs/>
          <w:sz w:val="20"/>
          <w:szCs w:val="20"/>
        </w:rPr>
        <w:t>FUNDAÇÃO UNIVERSIDADE FEDERAL DO AMAPÁ</w:t>
      </w:r>
      <w:r>
        <w:rPr>
          <w:noProof/>
        </w:rPr>
        <w:drawing>
          <wp:anchor distT="0" distB="0" distL="114300" distR="114300" simplePos="0" relativeHeight="251658240" behindDoc="0" locked="0" layoutInCell="1" hidden="0" allowOverlap="1" wp14:anchorId="340E105D" wp14:editId="1A96907C">
            <wp:simplePos x="0" y="0"/>
            <wp:positionH relativeFrom="column">
              <wp:posOffset>2818130</wp:posOffset>
            </wp:positionH>
            <wp:positionV relativeFrom="paragraph">
              <wp:posOffset>64135</wp:posOffset>
            </wp:positionV>
            <wp:extent cx="737870" cy="805815"/>
            <wp:effectExtent l="0" t="0" r="0" b="0"/>
            <wp:wrapTopAndBottom distT="0" dist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37870" cy="805815"/>
                    </a:xfrm>
                    <a:prstGeom prst="rect">
                      <a:avLst/>
                    </a:prstGeom>
                    <a:ln/>
                  </pic:spPr>
                </pic:pic>
              </a:graphicData>
            </a:graphic>
          </wp:anchor>
        </w:drawing>
      </w:r>
    </w:p>
    <w:p w14:paraId="00000004" w14:textId="77777777" w:rsidR="00FE4CA3" w:rsidRDefault="00000000">
      <w:pPr>
        <w:spacing w:before="120" w:after="288" w:line="312" w:lineRule="auto"/>
        <w:jc w:val="center"/>
        <w:rPr>
          <w:rFonts w:ascii="Arial" w:eastAsia="Arial" w:hAnsi="Arial" w:cs="Arial"/>
          <w:sz w:val="20"/>
          <w:szCs w:val="20"/>
        </w:rPr>
      </w:pPr>
      <w:r>
        <w:rPr>
          <w:rFonts w:ascii="Arial" w:eastAsia="Arial" w:hAnsi="Arial" w:cs="Arial"/>
          <w:sz w:val="20"/>
          <w:szCs w:val="20"/>
        </w:rPr>
        <w:t>(Processo Administrativo n° 23125.001635/2026-61)</w:t>
      </w:r>
    </w:p>
    <w:p w14:paraId="00000005" w14:textId="77777777" w:rsidR="00FE4CA3" w:rsidRDefault="00000000">
      <w:pPr>
        <w:spacing w:after="288" w:line="312" w:lineRule="auto"/>
        <w:jc w:val="center"/>
        <w:rPr>
          <w:rFonts w:ascii="Arial" w:eastAsia="Arial" w:hAnsi="Arial" w:cs="Arial"/>
          <w:b/>
          <w:bCs/>
          <w:sz w:val="20"/>
          <w:szCs w:val="20"/>
        </w:rPr>
      </w:pPr>
      <w:r>
        <w:rPr>
          <w:rFonts w:ascii="Arial" w:eastAsia="Arial" w:hAnsi="Arial" w:cs="Arial"/>
          <w:b/>
          <w:bCs/>
          <w:sz w:val="20"/>
          <w:szCs w:val="20"/>
        </w:rPr>
        <w:t>TERMO DE REFERÊNCIA</w:t>
      </w:r>
    </w:p>
    <w:p w14:paraId="00000006" w14:textId="77777777" w:rsidR="00FE4CA3" w:rsidRDefault="00000000">
      <w:pPr>
        <w:numPr>
          <w:ilvl w:val="0"/>
          <w:numId w:val="1"/>
        </w:numPr>
        <w:pBdr>
          <w:top w:val="nil"/>
          <w:left w:val="nil"/>
          <w:bottom w:val="nil"/>
          <w:right w:val="nil"/>
          <w:between w:val="nil"/>
        </w:pBdr>
        <w:spacing w:before="360" w:after="120" w:line="276" w:lineRule="auto"/>
        <w:ind w:hanging="360"/>
        <w:jc w:val="both"/>
      </w:pPr>
      <w:bookmarkStart w:id="1" w:name="_heading=h.xxenenye4c6i" w:colFirst="0" w:colLast="0"/>
      <w:bookmarkEnd w:id="1"/>
      <w:r>
        <w:rPr>
          <w:rFonts w:ascii="Arial" w:eastAsia="Arial" w:hAnsi="Arial" w:cs="Arial"/>
          <w:b/>
          <w:bCs/>
          <w:sz w:val="20"/>
          <w:szCs w:val="20"/>
        </w:rPr>
        <w:t>CONDIÇÕES GERAIS DA CONTRATAÇÃO</w:t>
      </w:r>
    </w:p>
    <w:p w14:paraId="00000007" w14:textId="77777777" w:rsidR="00FE4CA3" w:rsidRDefault="00000000">
      <w:pPr>
        <w:numPr>
          <w:ilvl w:val="1"/>
          <w:numId w:val="1"/>
        </w:numPr>
        <w:pBdr>
          <w:top w:val="nil"/>
          <w:left w:val="nil"/>
          <w:bottom w:val="nil"/>
          <w:right w:val="nil"/>
          <w:between w:val="nil"/>
        </w:pBdr>
        <w:spacing w:before="120" w:after="120" w:line="276" w:lineRule="auto"/>
        <w:jc w:val="both"/>
      </w:pPr>
      <w:bookmarkStart w:id="2" w:name="_heading=h.j3c27srgu23b" w:colFirst="0" w:colLast="0"/>
      <w:bookmarkEnd w:id="2"/>
      <w:r>
        <w:rPr>
          <w:rFonts w:ascii="Arial" w:eastAsia="Arial" w:hAnsi="Arial" w:cs="Arial"/>
          <w:sz w:val="20"/>
          <w:szCs w:val="20"/>
        </w:rPr>
        <w:t>Aquisição de de equipamentos odontológicos destinados ao consultório da UBS vinculada à universidade, para viabilizar a assistência em saúde bucal, nos termos da tabela abaixo, conforme condições e exigências estabelecidas neste instrumento.</w:t>
      </w:r>
    </w:p>
    <w:tbl>
      <w:tblPr>
        <w:tblStyle w:val="a"/>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7"/>
        <w:gridCol w:w="4895"/>
        <w:gridCol w:w="850"/>
        <w:gridCol w:w="851"/>
        <w:gridCol w:w="709"/>
        <w:gridCol w:w="992"/>
        <w:gridCol w:w="992"/>
      </w:tblGrid>
      <w:tr w:rsidR="00FE4CA3" w14:paraId="41F46EAD" w14:textId="77777777">
        <w:trPr>
          <w:tblHeader/>
        </w:trPr>
        <w:tc>
          <w:tcPr>
            <w:tcW w:w="487" w:type="dxa"/>
            <w:vAlign w:val="center"/>
          </w:tcPr>
          <w:p w14:paraId="00000008" w14:textId="77777777" w:rsidR="00FE4CA3" w:rsidRDefault="00000000">
            <w:pPr>
              <w:pBdr>
                <w:top w:val="nil"/>
                <w:left w:val="nil"/>
                <w:bottom w:val="nil"/>
                <w:right w:val="nil"/>
                <w:between w:val="nil"/>
              </w:pBdr>
              <w:spacing w:before="120" w:after="120" w:line="276" w:lineRule="auto"/>
              <w:jc w:val="both"/>
              <w:rPr>
                <w:rFonts w:ascii="Arial" w:eastAsia="Arial" w:hAnsi="Arial" w:cs="Arial"/>
                <w:b/>
                <w:bCs/>
                <w:sz w:val="20"/>
                <w:szCs w:val="20"/>
              </w:rPr>
            </w:pPr>
            <w:r>
              <w:rPr>
                <w:rFonts w:ascii="Arial" w:eastAsia="Arial" w:hAnsi="Arial" w:cs="Arial"/>
                <w:b/>
                <w:bCs/>
                <w:sz w:val="20"/>
                <w:szCs w:val="20"/>
              </w:rPr>
              <w:t>Item</w:t>
            </w:r>
          </w:p>
        </w:tc>
        <w:tc>
          <w:tcPr>
            <w:tcW w:w="4895" w:type="dxa"/>
            <w:vAlign w:val="center"/>
          </w:tcPr>
          <w:p w14:paraId="00000009" w14:textId="77777777" w:rsidR="00FE4CA3" w:rsidRDefault="00000000">
            <w:pPr>
              <w:pBdr>
                <w:top w:val="nil"/>
                <w:left w:val="nil"/>
                <w:bottom w:val="nil"/>
                <w:right w:val="nil"/>
                <w:between w:val="nil"/>
              </w:pBdr>
              <w:spacing w:before="120" w:after="120" w:line="276" w:lineRule="auto"/>
              <w:jc w:val="both"/>
              <w:rPr>
                <w:rFonts w:ascii="Arial" w:eastAsia="Arial" w:hAnsi="Arial" w:cs="Arial"/>
                <w:b/>
                <w:bCs/>
                <w:sz w:val="20"/>
                <w:szCs w:val="20"/>
              </w:rPr>
            </w:pPr>
            <w:r>
              <w:rPr>
                <w:rFonts w:ascii="Arial" w:eastAsia="Arial" w:hAnsi="Arial" w:cs="Arial"/>
                <w:b/>
                <w:bCs/>
                <w:sz w:val="20"/>
                <w:szCs w:val="20"/>
              </w:rPr>
              <w:t>Especificação Técnica</w:t>
            </w:r>
          </w:p>
        </w:tc>
        <w:tc>
          <w:tcPr>
            <w:tcW w:w="850" w:type="dxa"/>
            <w:vAlign w:val="center"/>
          </w:tcPr>
          <w:p w14:paraId="0000000A" w14:textId="77777777" w:rsidR="00FE4CA3" w:rsidRDefault="00000000">
            <w:pPr>
              <w:pBdr>
                <w:top w:val="nil"/>
                <w:left w:val="nil"/>
                <w:bottom w:val="nil"/>
                <w:right w:val="nil"/>
                <w:between w:val="nil"/>
              </w:pBdr>
              <w:spacing w:before="120" w:after="120" w:line="276" w:lineRule="auto"/>
              <w:jc w:val="center"/>
              <w:rPr>
                <w:rFonts w:ascii="Arial" w:eastAsia="Arial" w:hAnsi="Arial" w:cs="Arial"/>
                <w:b/>
                <w:bCs/>
                <w:sz w:val="20"/>
                <w:szCs w:val="20"/>
              </w:rPr>
            </w:pPr>
            <w:r>
              <w:rPr>
                <w:rFonts w:ascii="Arial" w:eastAsia="Arial" w:hAnsi="Arial" w:cs="Arial"/>
                <w:b/>
                <w:bCs/>
                <w:sz w:val="20"/>
                <w:szCs w:val="20"/>
              </w:rPr>
              <w:t>Catmat</w:t>
            </w:r>
          </w:p>
        </w:tc>
        <w:tc>
          <w:tcPr>
            <w:tcW w:w="851" w:type="dxa"/>
            <w:vAlign w:val="center"/>
          </w:tcPr>
          <w:p w14:paraId="0000000B" w14:textId="77777777" w:rsidR="00FE4CA3" w:rsidRDefault="00000000">
            <w:pPr>
              <w:pBdr>
                <w:top w:val="nil"/>
                <w:left w:val="nil"/>
                <w:bottom w:val="nil"/>
                <w:right w:val="nil"/>
                <w:between w:val="nil"/>
              </w:pBdr>
              <w:spacing w:before="120" w:after="120" w:line="276" w:lineRule="auto"/>
              <w:jc w:val="center"/>
              <w:rPr>
                <w:rFonts w:ascii="Arial" w:eastAsia="Arial" w:hAnsi="Arial" w:cs="Arial"/>
                <w:b/>
                <w:bCs/>
                <w:sz w:val="20"/>
                <w:szCs w:val="20"/>
              </w:rPr>
            </w:pPr>
            <w:r>
              <w:rPr>
                <w:rFonts w:ascii="Arial" w:eastAsia="Arial" w:hAnsi="Arial" w:cs="Arial"/>
                <w:b/>
                <w:bCs/>
                <w:sz w:val="20"/>
                <w:szCs w:val="20"/>
              </w:rPr>
              <w:t>Unidade</w:t>
            </w:r>
          </w:p>
        </w:tc>
        <w:tc>
          <w:tcPr>
            <w:tcW w:w="709" w:type="dxa"/>
            <w:vAlign w:val="center"/>
          </w:tcPr>
          <w:p w14:paraId="0000000C" w14:textId="77777777" w:rsidR="00FE4CA3" w:rsidRDefault="00000000">
            <w:pPr>
              <w:pBdr>
                <w:top w:val="nil"/>
                <w:left w:val="nil"/>
                <w:bottom w:val="nil"/>
                <w:right w:val="nil"/>
                <w:between w:val="nil"/>
              </w:pBdr>
              <w:spacing w:before="120" w:after="120" w:line="276" w:lineRule="auto"/>
              <w:jc w:val="center"/>
              <w:rPr>
                <w:rFonts w:ascii="Arial" w:eastAsia="Arial" w:hAnsi="Arial" w:cs="Arial"/>
                <w:b/>
                <w:bCs/>
                <w:sz w:val="20"/>
                <w:szCs w:val="20"/>
              </w:rPr>
            </w:pPr>
            <w:r>
              <w:rPr>
                <w:rFonts w:ascii="Arial" w:eastAsia="Arial" w:hAnsi="Arial" w:cs="Arial"/>
                <w:b/>
                <w:bCs/>
                <w:sz w:val="20"/>
                <w:szCs w:val="20"/>
              </w:rPr>
              <w:t>Quantidade</w:t>
            </w:r>
          </w:p>
        </w:tc>
        <w:tc>
          <w:tcPr>
            <w:tcW w:w="992" w:type="dxa"/>
            <w:vAlign w:val="center"/>
          </w:tcPr>
          <w:p w14:paraId="0000000D" w14:textId="77777777" w:rsidR="00FE4CA3" w:rsidRDefault="00000000">
            <w:pPr>
              <w:pBdr>
                <w:top w:val="nil"/>
                <w:left w:val="nil"/>
                <w:bottom w:val="nil"/>
                <w:right w:val="nil"/>
                <w:between w:val="nil"/>
              </w:pBdr>
              <w:spacing w:before="120" w:after="120" w:line="276" w:lineRule="auto"/>
              <w:jc w:val="center"/>
              <w:rPr>
                <w:rFonts w:ascii="Arial" w:eastAsia="Arial" w:hAnsi="Arial" w:cs="Arial"/>
                <w:b/>
                <w:bCs/>
                <w:sz w:val="20"/>
                <w:szCs w:val="20"/>
              </w:rPr>
            </w:pPr>
            <w:r>
              <w:rPr>
                <w:rFonts w:ascii="Arial" w:eastAsia="Arial" w:hAnsi="Arial" w:cs="Arial"/>
                <w:b/>
                <w:bCs/>
                <w:sz w:val="20"/>
                <w:szCs w:val="20"/>
              </w:rPr>
              <w:t>Valor Unitário</w:t>
            </w:r>
          </w:p>
        </w:tc>
        <w:tc>
          <w:tcPr>
            <w:tcW w:w="992" w:type="dxa"/>
            <w:vAlign w:val="center"/>
          </w:tcPr>
          <w:p w14:paraId="0000000E" w14:textId="77777777" w:rsidR="00FE4CA3" w:rsidRDefault="00000000">
            <w:pPr>
              <w:pBdr>
                <w:top w:val="nil"/>
                <w:left w:val="nil"/>
                <w:bottom w:val="nil"/>
                <w:right w:val="nil"/>
                <w:between w:val="nil"/>
              </w:pBdr>
              <w:spacing w:before="120" w:after="120" w:line="276" w:lineRule="auto"/>
              <w:jc w:val="center"/>
              <w:rPr>
                <w:rFonts w:ascii="Arial" w:eastAsia="Arial" w:hAnsi="Arial" w:cs="Arial"/>
                <w:b/>
                <w:bCs/>
                <w:sz w:val="20"/>
                <w:szCs w:val="20"/>
              </w:rPr>
            </w:pPr>
            <w:r>
              <w:rPr>
                <w:rFonts w:ascii="Arial" w:eastAsia="Arial" w:hAnsi="Arial" w:cs="Arial"/>
                <w:b/>
                <w:bCs/>
                <w:sz w:val="20"/>
                <w:szCs w:val="20"/>
              </w:rPr>
              <w:t>Valor Total</w:t>
            </w:r>
          </w:p>
        </w:tc>
      </w:tr>
      <w:tr w:rsidR="00FE4CA3" w14:paraId="5946AD66" w14:textId="77777777">
        <w:tc>
          <w:tcPr>
            <w:tcW w:w="487" w:type="dxa"/>
            <w:vAlign w:val="center"/>
          </w:tcPr>
          <w:p w14:paraId="0000000F" w14:textId="77777777" w:rsidR="00FE4CA3" w:rsidRDefault="00000000">
            <w:pPr>
              <w:pBdr>
                <w:top w:val="nil"/>
                <w:left w:val="nil"/>
                <w:bottom w:val="nil"/>
                <w:right w:val="nil"/>
                <w:between w:val="nil"/>
              </w:pBdr>
              <w:spacing w:before="120" w:after="120" w:line="276" w:lineRule="auto"/>
              <w:jc w:val="both"/>
              <w:rPr>
                <w:rFonts w:ascii="Arial" w:eastAsia="Arial" w:hAnsi="Arial" w:cs="Arial"/>
                <w:sz w:val="20"/>
                <w:szCs w:val="20"/>
              </w:rPr>
            </w:pPr>
            <w:r>
              <w:rPr>
                <w:rFonts w:ascii="Arial" w:eastAsia="Arial" w:hAnsi="Arial" w:cs="Arial"/>
                <w:sz w:val="20"/>
                <w:szCs w:val="20"/>
              </w:rPr>
              <w:t>1</w:t>
            </w:r>
          </w:p>
        </w:tc>
        <w:tc>
          <w:tcPr>
            <w:tcW w:w="4895" w:type="dxa"/>
            <w:vAlign w:val="center"/>
          </w:tcPr>
          <w:p w14:paraId="00000010" w14:textId="77777777" w:rsidR="00FE4CA3" w:rsidRDefault="00000000">
            <w:pPr>
              <w:pBdr>
                <w:top w:val="nil"/>
                <w:left w:val="nil"/>
                <w:bottom w:val="nil"/>
                <w:right w:val="nil"/>
                <w:between w:val="nil"/>
              </w:pBdr>
              <w:spacing w:before="120" w:after="120" w:line="276" w:lineRule="auto"/>
              <w:jc w:val="both"/>
              <w:rPr>
                <w:rFonts w:ascii="Arial" w:eastAsia="Arial" w:hAnsi="Arial" w:cs="Arial"/>
                <w:b/>
                <w:bCs/>
                <w:sz w:val="20"/>
                <w:szCs w:val="20"/>
              </w:rPr>
            </w:pPr>
            <w:r>
              <w:rPr>
                <w:rFonts w:ascii="Arial" w:eastAsia="Arial" w:hAnsi="Arial" w:cs="Arial"/>
                <w:b/>
                <w:bCs/>
                <w:sz w:val="20"/>
                <w:szCs w:val="20"/>
              </w:rPr>
              <w:t xml:space="preserve">Consultório odontológico: </w:t>
            </w:r>
            <w:r>
              <w:rPr>
                <w:rFonts w:ascii="Arial" w:eastAsia="Arial" w:hAnsi="Arial" w:cs="Arial"/>
                <w:sz w:val="20"/>
                <w:szCs w:val="20"/>
              </w:rPr>
              <w:t>composto por cadeira odontológica, equipo, unidade auxiliar e refletor odontológico, com acionamentos eletromecânicos, movimentos automáticos, sistema de elevação silencioso, estofamento ergonômico e lavável, cabeceira anatômica ajustável, pedal multifuncional e estrutura resistente à corrosão. Equipo com no mínimo 3 terminais compatíveis com alta rotação, baixa rotação e seringa tríplice. Unidade auxiliar com sistema de sucção e cuba removível. Refletor LED com ajuste de intensidade. Registro ANVISA quando aplicável. Garantia mínima de 12 meses.</w:t>
            </w:r>
          </w:p>
        </w:tc>
        <w:tc>
          <w:tcPr>
            <w:tcW w:w="850" w:type="dxa"/>
            <w:vAlign w:val="center"/>
          </w:tcPr>
          <w:p w14:paraId="00000011"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407885</w:t>
            </w:r>
          </w:p>
        </w:tc>
        <w:tc>
          <w:tcPr>
            <w:tcW w:w="851" w:type="dxa"/>
            <w:vAlign w:val="center"/>
          </w:tcPr>
          <w:p w14:paraId="00000012"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Unidade</w:t>
            </w:r>
          </w:p>
        </w:tc>
        <w:tc>
          <w:tcPr>
            <w:tcW w:w="709" w:type="dxa"/>
            <w:vAlign w:val="center"/>
          </w:tcPr>
          <w:p w14:paraId="00000013"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1</w:t>
            </w:r>
          </w:p>
        </w:tc>
        <w:tc>
          <w:tcPr>
            <w:tcW w:w="992" w:type="dxa"/>
            <w:vAlign w:val="center"/>
          </w:tcPr>
          <w:p w14:paraId="00000014"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R$ 20.045,28</w:t>
            </w:r>
          </w:p>
        </w:tc>
        <w:tc>
          <w:tcPr>
            <w:tcW w:w="992" w:type="dxa"/>
            <w:vAlign w:val="center"/>
          </w:tcPr>
          <w:p w14:paraId="00000015"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R$ 20.045,28</w:t>
            </w:r>
          </w:p>
        </w:tc>
      </w:tr>
      <w:tr w:rsidR="00FE4CA3" w14:paraId="077717FF" w14:textId="77777777">
        <w:tc>
          <w:tcPr>
            <w:tcW w:w="487" w:type="dxa"/>
            <w:vAlign w:val="center"/>
          </w:tcPr>
          <w:p w14:paraId="00000016" w14:textId="77777777" w:rsidR="00FE4CA3" w:rsidRDefault="00000000">
            <w:pPr>
              <w:pBdr>
                <w:top w:val="nil"/>
                <w:left w:val="nil"/>
                <w:bottom w:val="nil"/>
                <w:right w:val="nil"/>
                <w:between w:val="nil"/>
              </w:pBdr>
              <w:spacing w:before="120" w:after="120" w:line="276" w:lineRule="auto"/>
              <w:jc w:val="both"/>
              <w:rPr>
                <w:rFonts w:ascii="Arial" w:eastAsia="Arial" w:hAnsi="Arial" w:cs="Arial"/>
                <w:sz w:val="20"/>
                <w:szCs w:val="20"/>
              </w:rPr>
            </w:pPr>
            <w:r>
              <w:rPr>
                <w:rFonts w:ascii="Arial" w:eastAsia="Arial" w:hAnsi="Arial" w:cs="Arial"/>
                <w:sz w:val="20"/>
                <w:szCs w:val="20"/>
              </w:rPr>
              <w:t>2</w:t>
            </w:r>
          </w:p>
        </w:tc>
        <w:tc>
          <w:tcPr>
            <w:tcW w:w="4895" w:type="dxa"/>
            <w:vAlign w:val="center"/>
          </w:tcPr>
          <w:p w14:paraId="00000017" w14:textId="77777777" w:rsidR="00FE4CA3" w:rsidRDefault="00000000">
            <w:pPr>
              <w:pBdr>
                <w:top w:val="nil"/>
                <w:left w:val="nil"/>
                <w:bottom w:val="nil"/>
                <w:right w:val="nil"/>
                <w:between w:val="nil"/>
              </w:pBdr>
              <w:spacing w:before="120" w:after="120" w:line="276" w:lineRule="auto"/>
              <w:jc w:val="both"/>
              <w:rPr>
                <w:rFonts w:ascii="Arial" w:eastAsia="Arial" w:hAnsi="Arial" w:cs="Arial"/>
                <w:sz w:val="20"/>
                <w:szCs w:val="20"/>
              </w:rPr>
            </w:pPr>
            <w:r>
              <w:rPr>
                <w:rFonts w:ascii="Arial" w:eastAsia="Arial" w:hAnsi="Arial" w:cs="Arial"/>
                <w:b/>
                <w:bCs/>
                <w:sz w:val="20"/>
                <w:szCs w:val="20"/>
              </w:rPr>
              <w:t>Compressor de ar odontológico</w:t>
            </w:r>
            <w:r>
              <w:rPr>
                <w:rFonts w:ascii="Arial" w:eastAsia="Arial" w:hAnsi="Arial" w:cs="Arial"/>
                <w:sz w:val="20"/>
                <w:szCs w:val="20"/>
              </w:rPr>
              <w:t xml:space="preserve"> isento de óleo, reservatório mínimo de 50 litros, pintura interna anticorrosiva, válvula de segurança, manômetro e dreno para água. Baixo nível de ruído, proteção térmica e sistema de filtragem adequado ao uso odontológico. Funcionamento bivolt ou compatível com a rede elétrica institucional. Garantia mínima de 12 meses.</w:t>
            </w:r>
          </w:p>
        </w:tc>
        <w:tc>
          <w:tcPr>
            <w:tcW w:w="850" w:type="dxa"/>
            <w:vAlign w:val="center"/>
          </w:tcPr>
          <w:p w14:paraId="00000018"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634788</w:t>
            </w:r>
          </w:p>
        </w:tc>
        <w:tc>
          <w:tcPr>
            <w:tcW w:w="851" w:type="dxa"/>
            <w:vAlign w:val="center"/>
          </w:tcPr>
          <w:p w14:paraId="00000019"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Unidade</w:t>
            </w:r>
          </w:p>
        </w:tc>
        <w:tc>
          <w:tcPr>
            <w:tcW w:w="709" w:type="dxa"/>
            <w:vAlign w:val="center"/>
          </w:tcPr>
          <w:p w14:paraId="0000001A"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1</w:t>
            </w:r>
          </w:p>
        </w:tc>
        <w:tc>
          <w:tcPr>
            <w:tcW w:w="992" w:type="dxa"/>
            <w:vAlign w:val="center"/>
          </w:tcPr>
          <w:p w14:paraId="0000001B"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R$ 5.549,53</w:t>
            </w:r>
          </w:p>
        </w:tc>
        <w:tc>
          <w:tcPr>
            <w:tcW w:w="992" w:type="dxa"/>
            <w:vAlign w:val="center"/>
          </w:tcPr>
          <w:p w14:paraId="0000001C"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R$ 5.549,53</w:t>
            </w:r>
          </w:p>
        </w:tc>
      </w:tr>
      <w:tr w:rsidR="00FE4CA3" w14:paraId="7EE0415D" w14:textId="77777777">
        <w:tc>
          <w:tcPr>
            <w:tcW w:w="487" w:type="dxa"/>
            <w:vAlign w:val="center"/>
          </w:tcPr>
          <w:p w14:paraId="0000001D" w14:textId="77777777" w:rsidR="00FE4CA3" w:rsidRDefault="00000000">
            <w:pPr>
              <w:pBdr>
                <w:top w:val="nil"/>
                <w:left w:val="nil"/>
                <w:bottom w:val="nil"/>
                <w:right w:val="nil"/>
                <w:between w:val="nil"/>
              </w:pBdr>
              <w:spacing w:before="120" w:after="120" w:line="276" w:lineRule="auto"/>
              <w:jc w:val="both"/>
              <w:rPr>
                <w:rFonts w:ascii="Arial" w:eastAsia="Arial" w:hAnsi="Arial" w:cs="Arial"/>
                <w:sz w:val="20"/>
                <w:szCs w:val="20"/>
              </w:rPr>
            </w:pPr>
            <w:r>
              <w:rPr>
                <w:rFonts w:ascii="Arial" w:eastAsia="Arial" w:hAnsi="Arial" w:cs="Arial"/>
                <w:sz w:val="20"/>
                <w:szCs w:val="20"/>
              </w:rPr>
              <w:t>3</w:t>
            </w:r>
          </w:p>
        </w:tc>
        <w:tc>
          <w:tcPr>
            <w:tcW w:w="4895" w:type="dxa"/>
            <w:vAlign w:val="center"/>
          </w:tcPr>
          <w:p w14:paraId="0000001E" w14:textId="77777777" w:rsidR="00FE4CA3" w:rsidRDefault="00000000">
            <w:pPr>
              <w:pBdr>
                <w:top w:val="nil"/>
                <w:left w:val="nil"/>
                <w:bottom w:val="nil"/>
                <w:right w:val="nil"/>
                <w:between w:val="nil"/>
              </w:pBdr>
              <w:spacing w:before="120" w:after="120" w:line="276" w:lineRule="auto"/>
              <w:jc w:val="both"/>
              <w:rPr>
                <w:rFonts w:ascii="Arial" w:eastAsia="Arial" w:hAnsi="Arial" w:cs="Arial"/>
                <w:sz w:val="20"/>
                <w:szCs w:val="20"/>
              </w:rPr>
            </w:pPr>
            <w:r>
              <w:rPr>
                <w:rFonts w:ascii="Arial" w:eastAsia="Arial" w:hAnsi="Arial" w:cs="Arial"/>
                <w:b/>
                <w:bCs/>
                <w:sz w:val="20"/>
                <w:szCs w:val="20"/>
              </w:rPr>
              <w:t>Fotopolimerizador odontológico portátil</w:t>
            </w:r>
            <w:r>
              <w:rPr>
                <w:rFonts w:ascii="Arial" w:eastAsia="Arial" w:hAnsi="Arial" w:cs="Arial"/>
                <w:sz w:val="20"/>
                <w:szCs w:val="20"/>
              </w:rPr>
              <w:t xml:space="preserve">, sem fio, LED de alta potência, espectro de ação amplo compatível com diferentes materiais restauradores. Bateria recarregável de longa duração, temporizador </w:t>
            </w:r>
            <w:r>
              <w:rPr>
                <w:rFonts w:ascii="Arial" w:eastAsia="Arial" w:hAnsi="Arial" w:cs="Arial"/>
                <w:sz w:val="20"/>
                <w:szCs w:val="20"/>
              </w:rPr>
              <w:lastRenderedPageBreak/>
              <w:t>digital, ponteira autoclavável e intensidade luminosa adequada ao uso clínico. Não serão aceitos modelos com espectro restrito. Garantia mínima de 12 meses.</w:t>
            </w:r>
          </w:p>
        </w:tc>
        <w:tc>
          <w:tcPr>
            <w:tcW w:w="850" w:type="dxa"/>
            <w:vAlign w:val="center"/>
          </w:tcPr>
          <w:p w14:paraId="0000001F"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lastRenderedPageBreak/>
              <w:t>632274</w:t>
            </w:r>
          </w:p>
        </w:tc>
        <w:tc>
          <w:tcPr>
            <w:tcW w:w="851" w:type="dxa"/>
            <w:vAlign w:val="center"/>
          </w:tcPr>
          <w:p w14:paraId="00000020"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Unidade</w:t>
            </w:r>
          </w:p>
        </w:tc>
        <w:tc>
          <w:tcPr>
            <w:tcW w:w="709" w:type="dxa"/>
            <w:vAlign w:val="center"/>
          </w:tcPr>
          <w:p w14:paraId="00000021"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2</w:t>
            </w:r>
          </w:p>
        </w:tc>
        <w:tc>
          <w:tcPr>
            <w:tcW w:w="992" w:type="dxa"/>
            <w:vAlign w:val="center"/>
          </w:tcPr>
          <w:p w14:paraId="00000022"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R$ 1.311,96</w:t>
            </w:r>
          </w:p>
        </w:tc>
        <w:tc>
          <w:tcPr>
            <w:tcW w:w="992" w:type="dxa"/>
            <w:vAlign w:val="center"/>
          </w:tcPr>
          <w:p w14:paraId="00000023"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R$ 2.623,92</w:t>
            </w:r>
          </w:p>
        </w:tc>
      </w:tr>
      <w:tr w:rsidR="00FE4CA3" w14:paraId="7C3881AC" w14:textId="77777777">
        <w:tc>
          <w:tcPr>
            <w:tcW w:w="487" w:type="dxa"/>
            <w:vAlign w:val="center"/>
          </w:tcPr>
          <w:p w14:paraId="00000024" w14:textId="77777777" w:rsidR="00FE4CA3" w:rsidRDefault="00000000">
            <w:pPr>
              <w:pBdr>
                <w:top w:val="nil"/>
                <w:left w:val="nil"/>
                <w:bottom w:val="nil"/>
                <w:right w:val="nil"/>
                <w:between w:val="nil"/>
              </w:pBdr>
              <w:spacing w:before="120" w:after="120" w:line="276" w:lineRule="auto"/>
              <w:jc w:val="both"/>
              <w:rPr>
                <w:rFonts w:ascii="Arial" w:eastAsia="Arial" w:hAnsi="Arial" w:cs="Arial"/>
                <w:sz w:val="20"/>
                <w:szCs w:val="20"/>
              </w:rPr>
            </w:pPr>
            <w:r>
              <w:rPr>
                <w:rFonts w:ascii="Arial" w:eastAsia="Arial" w:hAnsi="Arial" w:cs="Arial"/>
                <w:sz w:val="20"/>
                <w:szCs w:val="20"/>
              </w:rPr>
              <w:t>4</w:t>
            </w:r>
          </w:p>
        </w:tc>
        <w:tc>
          <w:tcPr>
            <w:tcW w:w="4895" w:type="dxa"/>
            <w:vAlign w:val="center"/>
          </w:tcPr>
          <w:p w14:paraId="00000025" w14:textId="77777777" w:rsidR="00FE4CA3" w:rsidRDefault="00000000">
            <w:pPr>
              <w:pBdr>
                <w:top w:val="nil"/>
                <w:left w:val="nil"/>
                <w:bottom w:val="nil"/>
                <w:right w:val="nil"/>
                <w:between w:val="nil"/>
              </w:pBdr>
              <w:spacing w:before="120" w:after="120" w:line="276" w:lineRule="auto"/>
              <w:jc w:val="both"/>
              <w:rPr>
                <w:rFonts w:ascii="Arial" w:eastAsia="Arial" w:hAnsi="Arial" w:cs="Arial"/>
                <w:sz w:val="20"/>
                <w:szCs w:val="20"/>
              </w:rPr>
            </w:pPr>
            <w:r>
              <w:rPr>
                <w:rFonts w:ascii="Arial" w:eastAsia="Arial" w:hAnsi="Arial" w:cs="Arial"/>
                <w:b/>
                <w:bCs/>
                <w:sz w:val="20"/>
                <w:szCs w:val="20"/>
              </w:rPr>
              <w:t>Kit acadêmico odontológico</w:t>
            </w:r>
            <w:r>
              <w:rPr>
                <w:rFonts w:ascii="Arial" w:eastAsia="Arial" w:hAnsi="Arial" w:cs="Arial"/>
                <w:sz w:val="20"/>
                <w:szCs w:val="20"/>
              </w:rPr>
              <w:t xml:space="preserve"> composto por micromotor, contra-ângulo, peça reta e caneta de alta rotação. Rolamentos cerâmicos, permitindo maior durabilidade e melhor desempenho clínico. Caneta de alta rotação com refrigeração eficiente, baixo ruído e compatibilidade com equipos convencionais, do tipo push bottom. Esterilizável em autoclave. Registro ANVISA quando aplicável. Garantia mínima de 12 meses.</w:t>
            </w:r>
          </w:p>
        </w:tc>
        <w:tc>
          <w:tcPr>
            <w:tcW w:w="850" w:type="dxa"/>
            <w:vAlign w:val="center"/>
          </w:tcPr>
          <w:p w14:paraId="00000026"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422198</w:t>
            </w:r>
          </w:p>
        </w:tc>
        <w:tc>
          <w:tcPr>
            <w:tcW w:w="851" w:type="dxa"/>
            <w:vAlign w:val="center"/>
          </w:tcPr>
          <w:p w14:paraId="00000027"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Unidade</w:t>
            </w:r>
          </w:p>
        </w:tc>
        <w:tc>
          <w:tcPr>
            <w:tcW w:w="709" w:type="dxa"/>
            <w:vAlign w:val="center"/>
          </w:tcPr>
          <w:p w14:paraId="00000028"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2</w:t>
            </w:r>
          </w:p>
        </w:tc>
        <w:tc>
          <w:tcPr>
            <w:tcW w:w="992" w:type="dxa"/>
            <w:vAlign w:val="center"/>
          </w:tcPr>
          <w:p w14:paraId="00000029"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R$ 2.131,64</w:t>
            </w:r>
          </w:p>
        </w:tc>
        <w:tc>
          <w:tcPr>
            <w:tcW w:w="992" w:type="dxa"/>
            <w:vAlign w:val="center"/>
          </w:tcPr>
          <w:p w14:paraId="0000002A"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R$ 4.263,28</w:t>
            </w:r>
          </w:p>
        </w:tc>
      </w:tr>
      <w:tr w:rsidR="00FE4CA3" w14:paraId="1ED38B1D" w14:textId="77777777">
        <w:tc>
          <w:tcPr>
            <w:tcW w:w="487" w:type="dxa"/>
            <w:vAlign w:val="center"/>
          </w:tcPr>
          <w:p w14:paraId="0000002B" w14:textId="77777777" w:rsidR="00FE4CA3" w:rsidRDefault="00000000">
            <w:pPr>
              <w:pBdr>
                <w:top w:val="nil"/>
                <w:left w:val="nil"/>
                <w:bottom w:val="nil"/>
                <w:right w:val="nil"/>
                <w:between w:val="nil"/>
              </w:pBdr>
              <w:spacing w:before="120" w:after="120" w:line="276" w:lineRule="auto"/>
              <w:jc w:val="both"/>
              <w:rPr>
                <w:rFonts w:ascii="Arial" w:eastAsia="Arial" w:hAnsi="Arial" w:cs="Arial"/>
                <w:sz w:val="20"/>
                <w:szCs w:val="20"/>
              </w:rPr>
            </w:pPr>
            <w:r>
              <w:rPr>
                <w:rFonts w:ascii="Arial" w:eastAsia="Arial" w:hAnsi="Arial" w:cs="Arial"/>
                <w:sz w:val="20"/>
                <w:szCs w:val="20"/>
              </w:rPr>
              <w:t>5</w:t>
            </w:r>
          </w:p>
        </w:tc>
        <w:tc>
          <w:tcPr>
            <w:tcW w:w="4895" w:type="dxa"/>
            <w:vAlign w:val="center"/>
          </w:tcPr>
          <w:p w14:paraId="0000002C" w14:textId="77777777" w:rsidR="00FE4CA3" w:rsidRDefault="00000000" w:rsidP="003F666A">
            <w:pPr>
              <w:pBdr>
                <w:top w:val="nil"/>
                <w:left w:val="nil"/>
                <w:bottom w:val="nil"/>
                <w:right w:val="nil"/>
                <w:between w:val="nil"/>
              </w:pBdr>
              <w:spacing w:before="120" w:after="120" w:line="276" w:lineRule="auto"/>
              <w:jc w:val="both"/>
            </w:pPr>
            <w:r>
              <w:rPr>
                <w:rFonts w:ascii="Arial" w:eastAsia="Arial" w:hAnsi="Arial" w:cs="Arial"/>
                <w:b/>
                <w:bCs/>
                <w:sz w:val="20"/>
                <w:szCs w:val="20"/>
              </w:rPr>
              <w:t>Aparelho de raio X odontológico coluna móvel</w:t>
            </w:r>
            <w:r>
              <w:rPr>
                <w:rFonts w:ascii="Arial" w:eastAsia="Arial" w:hAnsi="Arial" w:cs="Arial"/>
                <w:sz w:val="20"/>
                <w:szCs w:val="20"/>
              </w:rPr>
              <w:t>, bivolt, destinado à realização de exames radiográficos periapicais. Braço articulável, disparo eletrônico, temporizador digital e compatibilidade com sensores digitais ou películas convencionais. Conformidade com normas da ANVISA e CNEN. Garantia mínima de 12 meses.</w:t>
            </w:r>
          </w:p>
        </w:tc>
        <w:tc>
          <w:tcPr>
            <w:tcW w:w="850" w:type="dxa"/>
            <w:vAlign w:val="center"/>
          </w:tcPr>
          <w:p w14:paraId="0000002D"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416247</w:t>
            </w:r>
          </w:p>
        </w:tc>
        <w:tc>
          <w:tcPr>
            <w:tcW w:w="851" w:type="dxa"/>
            <w:vAlign w:val="center"/>
          </w:tcPr>
          <w:p w14:paraId="0000002E"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Unidade</w:t>
            </w:r>
          </w:p>
        </w:tc>
        <w:tc>
          <w:tcPr>
            <w:tcW w:w="709" w:type="dxa"/>
            <w:vAlign w:val="center"/>
          </w:tcPr>
          <w:p w14:paraId="0000002F"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1</w:t>
            </w:r>
          </w:p>
        </w:tc>
        <w:tc>
          <w:tcPr>
            <w:tcW w:w="992" w:type="dxa"/>
            <w:vAlign w:val="center"/>
          </w:tcPr>
          <w:p w14:paraId="00000030"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R$ 10.463,13</w:t>
            </w:r>
          </w:p>
        </w:tc>
        <w:tc>
          <w:tcPr>
            <w:tcW w:w="992" w:type="dxa"/>
            <w:vAlign w:val="center"/>
          </w:tcPr>
          <w:p w14:paraId="00000031" w14:textId="77777777" w:rsidR="00FE4CA3" w:rsidRDefault="00000000">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R$ 10.463,13</w:t>
            </w:r>
          </w:p>
        </w:tc>
      </w:tr>
      <w:tr w:rsidR="003F666A" w14:paraId="55402AEC" w14:textId="77777777">
        <w:tc>
          <w:tcPr>
            <w:tcW w:w="487" w:type="dxa"/>
            <w:vAlign w:val="center"/>
          </w:tcPr>
          <w:p w14:paraId="6CDEB64C" w14:textId="7F2DC12D" w:rsidR="003F666A" w:rsidRDefault="003F666A" w:rsidP="003F666A">
            <w:pPr>
              <w:pBdr>
                <w:top w:val="nil"/>
                <w:left w:val="nil"/>
                <w:bottom w:val="nil"/>
                <w:right w:val="nil"/>
                <w:between w:val="nil"/>
              </w:pBdr>
              <w:spacing w:before="120" w:after="120" w:line="276" w:lineRule="auto"/>
              <w:jc w:val="both"/>
              <w:rPr>
                <w:rFonts w:ascii="Arial" w:eastAsia="Arial" w:hAnsi="Arial" w:cs="Arial"/>
                <w:sz w:val="20"/>
                <w:szCs w:val="20"/>
              </w:rPr>
            </w:pPr>
            <w:r>
              <w:rPr>
                <w:rFonts w:ascii="Arial" w:eastAsia="Arial" w:hAnsi="Arial" w:cs="Arial"/>
                <w:sz w:val="20"/>
                <w:szCs w:val="20"/>
              </w:rPr>
              <w:t>6</w:t>
            </w:r>
          </w:p>
        </w:tc>
        <w:tc>
          <w:tcPr>
            <w:tcW w:w="4895" w:type="dxa"/>
            <w:vAlign w:val="center"/>
          </w:tcPr>
          <w:p w14:paraId="37047B5E" w14:textId="1958E6CB" w:rsidR="003F666A" w:rsidRDefault="003F666A" w:rsidP="003F666A">
            <w:pPr>
              <w:pBdr>
                <w:top w:val="nil"/>
                <w:left w:val="nil"/>
                <w:bottom w:val="nil"/>
                <w:right w:val="nil"/>
                <w:between w:val="nil"/>
              </w:pBdr>
              <w:spacing w:before="120" w:after="120" w:line="276" w:lineRule="auto"/>
              <w:jc w:val="both"/>
              <w:rPr>
                <w:rFonts w:ascii="Arial" w:eastAsia="Arial" w:hAnsi="Arial" w:cs="Arial"/>
                <w:b/>
                <w:bCs/>
                <w:sz w:val="20"/>
                <w:szCs w:val="20"/>
              </w:rPr>
            </w:pPr>
            <w:r>
              <w:rPr>
                <w:rFonts w:ascii="Arial" w:eastAsia="Arial" w:hAnsi="Arial" w:cs="Arial"/>
                <w:b/>
                <w:bCs/>
                <w:sz w:val="20"/>
                <w:szCs w:val="20"/>
              </w:rPr>
              <w:t>Ultrassom odontológico de mesa</w:t>
            </w:r>
            <w:r>
              <w:rPr>
                <w:rFonts w:ascii="Arial" w:eastAsia="Arial" w:hAnsi="Arial" w:cs="Arial"/>
                <w:sz w:val="20"/>
                <w:szCs w:val="20"/>
              </w:rPr>
              <w:t>, portátil, independente de compressor de ar para funcionamento. Acompanhado de pontas periodontais extras, reservatório próprio para líquidos irrigadores, ajuste de potência e acionamento adequado ao uso clínico. Não serão aceitos modelos dependentes de compressor externo. Registro ANVISA quando aplicável. Garantia mínima de 12 meses.</w:t>
            </w:r>
          </w:p>
        </w:tc>
        <w:tc>
          <w:tcPr>
            <w:tcW w:w="850" w:type="dxa"/>
            <w:vAlign w:val="center"/>
          </w:tcPr>
          <w:p w14:paraId="41FDA56E" w14:textId="0327F30E" w:rsidR="003F666A" w:rsidRDefault="003F666A" w:rsidP="003F666A">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410454</w:t>
            </w:r>
          </w:p>
        </w:tc>
        <w:tc>
          <w:tcPr>
            <w:tcW w:w="851" w:type="dxa"/>
            <w:vAlign w:val="center"/>
          </w:tcPr>
          <w:p w14:paraId="3AC05676" w14:textId="6F2BC4C1" w:rsidR="003F666A" w:rsidRDefault="003F666A" w:rsidP="003F666A">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Unidade</w:t>
            </w:r>
          </w:p>
        </w:tc>
        <w:tc>
          <w:tcPr>
            <w:tcW w:w="709" w:type="dxa"/>
            <w:vAlign w:val="center"/>
          </w:tcPr>
          <w:p w14:paraId="7FC1BD1D" w14:textId="7D2803D7" w:rsidR="003F666A" w:rsidRDefault="003F666A" w:rsidP="003F666A">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1</w:t>
            </w:r>
          </w:p>
        </w:tc>
        <w:tc>
          <w:tcPr>
            <w:tcW w:w="992" w:type="dxa"/>
            <w:vAlign w:val="center"/>
          </w:tcPr>
          <w:p w14:paraId="4680EFFB" w14:textId="208A10DD" w:rsidR="003F666A" w:rsidRDefault="003F666A" w:rsidP="003F666A">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R$ 3.932,40</w:t>
            </w:r>
          </w:p>
        </w:tc>
        <w:tc>
          <w:tcPr>
            <w:tcW w:w="992" w:type="dxa"/>
            <w:vAlign w:val="center"/>
          </w:tcPr>
          <w:p w14:paraId="5B834021" w14:textId="6BB5AF2C" w:rsidR="003F666A" w:rsidRDefault="003F666A" w:rsidP="003F666A">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sz w:val="20"/>
                <w:szCs w:val="20"/>
              </w:rPr>
              <w:t>R$ 3.932,40</w:t>
            </w:r>
          </w:p>
        </w:tc>
      </w:tr>
      <w:tr w:rsidR="003F666A" w14:paraId="0FF435CC" w14:textId="77777777">
        <w:tc>
          <w:tcPr>
            <w:tcW w:w="487" w:type="dxa"/>
            <w:vAlign w:val="center"/>
          </w:tcPr>
          <w:p w14:paraId="00000039" w14:textId="77777777" w:rsidR="003F666A" w:rsidRDefault="003F666A" w:rsidP="003F666A">
            <w:pPr>
              <w:pBdr>
                <w:top w:val="nil"/>
                <w:left w:val="nil"/>
                <w:bottom w:val="nil"/>
                <w:right w:val="nil"/>
                <w:between w:val="nil"/>
              </w:pBdr>
              <w:spacing w:before="120" w:after="120" w:line="276" w:lineRule="auto"/>
              <w:jc w:val="both"/>
              <w:rPr>
                <w:rFonts w:ascii="Arial" w:eastAsia="Arial" w:hAnsi="Arial" w:cs="Arial"/>
                <w:sz w:val="20"/>
                <w:szCs w:val="20"/>
              </w:rPr>
            </w:pPr>
          </w:p>
        </w:tc>
        <w:tc>
          <w:tcPr>
            <w:tcW w:w="4895" w:type="dxa"/>
            <w:vAlign w:val="center"/>
          </w:tcPr>
          <w:p w14:paraId="0000003A" w14:textId="77777777" w:rsidR="003F666A" w:rsidRDefault="003F666A" w:rsidP="003F666A">
            <w:pPr>
              <w:pBdr>
                <w:top w:val="nil"/>
                <w:left w:val="nil"/>
                <w:bottom w:val="nil"/>
                <w:right w:val="nil"/>
                <w:between w:val="nil"/>
              </w:pBdr>
              <w:spacing w:before="120" w:after="120" w:line="276" w:lineRule="auto"/>
              <w:jc w:val="both"/>
              <w:rPr>
                <w:rFonts w:ascii="Arial" w:eastAsia="Arial" w:hAnsi="Arial" w:cs="Arial"/>
                <w:sz w:val="20"/>
                <w:szCs w:val="20"/>
              </w:rPr>
            </w:pPr>
          </w:p>
        </w:tc>
        <w:tc>
          <w:tcPr>
            <w:tcW w:w="850" w:type="dxa"/>
            <w:vAlign w:val="center"/>
          </w:tcPr>
          <w:p w14:paraId="0000003B" w14:textId="77777777" w:rsidR="003F666A" w:rsidRDefault="003F666A" w:rsidP="003F666A">
            <w:pPr>
              <w:pBdr>
                <w:top w:val="nil"/>
                <w:left w:val="nil"/>
                <w:bottom w:val="nil"/>
                <w:right w:val="nil"/>
                <w:between w:val="nil"/>
              </w:pBdr>
              <w:spacing w:before="120" w:after="120" w:line="276" w:lineRule="auto"/>
              <w:ind w:left="1277"/>
              <w:jc w:val="center"/>
              <w:rPr>
                <w:rFonts w:ascii="Arial" w:eastAsia="Arial" w:hAnsi="Arial" w:cs="Arial"/>
                <w:sz w:val="20"/>
                <w:szCs w:val="20"/>
              </w:rPr>
            </w:pPr>
          </w:p>
        </w:tc>
        <w:tc>
          <w:tcPr>
            <w:tcW w:w="851" w:type="dxa"/>
            <w:vAlign w:val="center"/>
          </w:tcPr>
          <w:p w14:paraId="0000003C" w14:textId="77777777" w:rsidR="003F666A" w:rsidRDefault="003F666A" w:rsidP="003F666A">
            <w:pPr>
              <w:pBdr>
                <w:top w:val="nil"/>
                <w:left w:val="nil"/>
                <w:bottom w:val="nil"/>
                <w:right w:val="nil"/>
                <w:between w:val="nil"/>
              </w:pBdr>
              <w:spacing w:before="120" w:after="120" w:line="276" w:lineRule="auto"/>
              <w:jc w:val="center"/>
              <w:rPr>
                <w:rFonts w:ascii="Arial" w:eastAsia="Arial" w:hAnsi="Arial" w:cs="Arial"/>
                <w:sz w:val="20"/>
                <w:szCs w:val="20"/>
              </w:rPr>
            </w:pPr>
          </w:p>
        </w:tc>
        <w:tc>
          <w:tcPr>
            <w:tcW w:w="709" w:type="dxa"/>
            <w:vAlign w:val="center"/>
          </w:tcPr>
          <w:p w14:paraId="0000003D" w14:textId="77777777" w:rsidR="003F666A" w:rsidRDefault="003F666A" w:rsidP="003F666A">
            <w:pPr>
              <w:pBdr>
                <w:top w:val="nil"/>
                <w:left w:val="nil"/>
                <w:bottom w:val="nil"/>
                <w:right w:val="nil"/>
                <w:between w:val="nil"/>
              </w:pBdr>
              <w:spacing w:before="120" w:after="120" w:line="276" w:lineRule="auto"/>
              <w:jc w:val="center"/>
              <w:rPr>
                <w:rFonts w:ascii="Arial" w:eastAsia="Arial" w:hAnsi="Arial" w:cs="Arial"/>
                <w:sz w:val="20"/>
                <w:szCs w:val="20"/>
              </w:rPr>
            </w:pPr>
          </w:p>
        </w:tc>
        <w:tc>
          <w:tcPr>
            <w:tcW w:w="992" w:type="dxa"/>
            <w:vAlign w:val="center"/>
          </w:tcPr>
          <w:p w14:paraId="0000003E" w14:textId="77777777" w:rsidR="003F666A" w:rsidRDefault="003F666A" w:rsidP="003F666A">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b/>
                <w:bCs/>
                <w:sz w:val="20"/>
                <w:szCs w:val="20"/>
              </w:rPr>
              <w:t>TOTAL</w:t>
            </w:r>
          </w:p>
        </w:tc>
        <w:tc>
          <w:tcPr>
            <w:tcW w:w="992" w:type="dxa"/>
            <w:vAlign w:val="center"/>
          </w:tcPr>
          <w:p w14:paraId="0000003F" w14:textId="77777777" w:rsidR="003F666A" w:rsidRDefault="003F666A" w:rsidP="003F666A">
            <w:pPr>
              <w:pBdr>
                <w:top w:val="nil"/>
                <w:left w:val="nil"/>
                <w:bottom w:val="nil"/>
                <w:right w:val="nil"/>
                <w:between w:val="nil"/>
              </w:pBdr>
              <w:spacing w:before="120" w:after="120" w:line="276" w:lineRule="auto"/>
              <w:jc w:val="center"/>
              <w:rPr>
                <w:rFonts w:ascii="Arial" w:eastAsia="Arial" w:hAnsi="Arial" w:cs="Arial"/>
                <w:sz w:val="20"/>
                <w:szCs w:val="20"/>
              </w:rPr>
            </w:pPr>
            <w:r>
              <w:rPr>
                <w:rFonts w:ascii="Arial" w:eastAsia="Arial" w:hAnsi="Arial" w:cs="Arial"/>
                <w:b/>
                <w:bCs/>
                <w:sz w:val="20"/>
                <w:szCs w:val="20"/>
              </w:rPr>
              <w:t>R$ 46.877,53</w:t>
            </w:r>
          </w:p>
        </w:tc>
      </w:tr>
    </w:tbl>
    <w:p w14:paraId="00000040" w14:textId="77777777" w:rsidR="00FE4CA3" w:rsidRDefault="00FE4CA3">
      <w:pPr>
        <w:pBdr>
          <w:top w:val="nil"/>
          <w:left w:val="nil"/>
          <w:bottom w:val="nil"/>
          <w:right w:val="nil"/>
          <w:between w:val="nil"/>
        </w:pBdr>
        <w:spacing w:before="120" w:after="120" w:line="276" w:lineRule="auto"/>
        <w:jc w:val="both"/>
        <w:rPr>
          <w:rFonts w:ascii="Arial" w:eastAsia="Arial" w:hAnsi="Arial" w:cs="Arial"/>
          <w:sz w:val="20"/>
          <w:szCs w:val="20"/>
        </w:rPr>
      </w:pPr>
    </w:p>
    <w:p w14:paraId="00000041" w14:textId="77777777" w:rsidR="00FE4CA3" w:rsidRDefault="00FE4CA3">
      <w:pPr>
        <w:pBdr>
          <w:top w:val="nil"/>
          <w:left w:val="nil"/>
          <w:bottom w:val="nil"/>
          <w:right w:val="nil"/>
          <w:between w:val="nil"/>
        </w:pBdr>
        <w:spacing w:before="120" w:after="120" w:line="276" w:lineRule="auto"/>
        <w:jc w:val="both"/>
        <w:rPr>
          <w:rFonts w:ascii="Arial" w:eastAsia="Arial" w:hAnsi="Arial" w:cs="Arial"/>
          <w:sz w:val="20"/>
          <w:szCs w:val="20"/>
        </w:rPr>
      </w:pPr>
    </w:p>
    <w:p w14:paraId="00000042" w14:textId="77777777" w:rsidR="00FE4CA3" w:rsidRDefault="00FE4CA3">
      <w:pPr>
        <w:pBdr>
          <w:top w:val="nil"/>
          <w:left w:val="nil"/>
          <w:bottom w:val="nil"/>
          <w:right w:val="nil"/>
          <w:between w:val="nil"/>
        </w:pBdr>
        <w:spacing w:before="120" w:after="120" w:line="276" w:lineRule="auto"/>
        <w:jc w:val="both"/>
        <w:rPr>
          <w:rFonts w:ascii="Arial" w:eastAsia="Arial" w:hAnsi="Arial" w:cs="Arial"/>
          <w:sz w:val="20"/>
          <w:szCs w:val="20"/>
        </w:rPr>
      </w:pPr>
    </w:p>
    <w:p w14:paraId="00000043" w14:textId="77777777" w:rsidR="00FE4CA3" w:rsidRDefault="00FE4CA3">
      <w:pPr>
        <w:pBdr>
          <w:top w:val="nil"/>
          <w:left w:val="nil"/>
          <w:bottom w:val="nil"/>
          <w:right w:val="nil"/>
          <w:between w:val="nil"/>
        </w:pBdr>
        <w:spacing w:before="120" w:after="120" w:line="276" w:lineRule="auto"/>
        <w:jc w:val="both"/>
        <w:rPr>
          <w:rFonts w:ascii="Arial" w:eastAsia="Arial" w:hAnsi="Arial" w:cs="Arial"/>
          <w:sz w:val="20"/>
          <w:szCs w:val="20"/>
        </w:rPr>
      </w:pPr>
    </w:p>
    <w:p w14:paraId="00000044" w14:textId="77777777" w:rsidR="00FE4CA3" w:rsidRDefault="00FE4CA3">
      <w:pPr>
        <w:pBdr>
          <w:top w:val="nil"/>
          <w:left w:val="nil"/>
          <w:bottom w:val="nil"/>
          <w:right w:val="nil"/>
          <w:between w:val="nil"/>
        </w:pBdr>
        <w:spacing w:before="120" w:after="120" w:line="276" w:lineRule="auto"/>
        <w:jc w:val="both"/>
        <w:rPr>
          <w:rFonts w:ascii="Arial" w:eastAsia="Arial" w:hAnsi="Arial" w:cs="Arial"/>
          <w:sz w:val="20"/>
          <w:szCs w:val="20"/>
        </w:rPr>
      </w:pPr>
    </w:p>
    <w:p w14:paraId="00000045" w14:textId="77777777" w:rsidR="00FE4CA3" w:rsidRDefault="00FE4CA3">
      <w:pPr>
        <w:pBdr>
          <w:top w:val="nil"/>
          <w:left w:val="nil"/>
          <w:bottom w:val="nil"/>
          <w:right w:val="nil"/>
          <w:between w:val="nil"/>
        </w:pBdr>
        <w:spacing w:before="120" w:after="120" w:line="276" w:lineRule="auto"/>
        <w:jc w:val="both"/>
        <w:rPr>
          <w:rFonts w:ascii="Arial" w:eastAsia="Arial" w:hAnsi="Arial" w:cs="Arial"/>
          <w:sz w:val="20"/>
          <w:szCs w:val="20"/>
        </w:rPr>
      </w:pPr>
    </w:p>
    <w:p w14:paraId="00000046" w14:textId="77777777" w:rsidR="00FE4CA3" w:rsidRDefault="00FE4CA3">
      <w:pPr>
        <w:pBdr>
          <w:top w:val="nil"/>
          <w:left w:val="nil"/>
          <w:bottom w:val="nil"/>
          <w:right w:val="nil"/>
          <w:between w:val="nil"/>
        </w:pBdr>
        <w:spacing w:before="120" w:after="120" w:line="276" w:lineRule="auto"/>
        <w:jc w:val="both"/>
        <w:rPr>
          <w:rFonts w:ascii="Arial" w:eastAsia="Arial" w:hAnsi="Arial" w:cs="Arial"/>
          <w:sz w:val="20"/>
          <w:szCs w:val="20"/>
        </w:rPr>
      </w:pPr>
    </w:p>
    <w:p w14:paraId="00000047" w14:textId="77777777" w:rsidR="00FE4CA3" w:rsidRDefault="00FE4CA3">
      <w:pPr>
        <w:pBdr>
          <w:top w:val="nil"/>
          <w:left w:val="nil"/>
          <w:bottom w:val="nil"/>
          <w:right w:val="nil"/>
          <w:between w:val="nil"/>
        </w:pBdr>
        <w:spacing w:before="120" w:after="120" w:line="276" w:lineRule="auto"/>
        <w:jc w:val="both"/>
        <w:rPr>
          <w:rFonts w:ascii="Arial" w:eastAsia="Arial" w:hAnsi="Arial" w:cs="Arial"/>
          <w:sz w:val="20"/>
          <w:szCs w:val="20"/>
        </w:rPr>
      </w:pPr>
    </w:p>
    <w:p w14:paraId="00000048" w14:textId="77777777" w:rsidR="00FE4CA3" w:rsidRDefault="00FE4CA3">
      <w:pPr>
        <w:pBdr>
          <w:top w:val="nil"/>
          <w:left w:val="nil"/>
          <w:bottom w:val="nil"/>
          <w:right w:val="nil"/>
          <w:between w:val="nil"/>
        </w:pBdr>
        <w:spacing w:before="120" w:after="120" w:line="276" w:lineRule="auto"/>
        <w:jc w:val="both"/>
        <w:rPr>
          <w:rFonts w:ascii="Arial" w:eastAsia="Arial" w:hAnsi="Arial" w:cs="Arial"/>
          <w:sz w:val="20"/>
          <w:szCs w:val="20"/>
        </w:rPr>
      </w:pPr>
    </w:p>
    <w:p w14:paraId="00000049" w14:textId="77777777" w:rsidR="00FE4CA3" w:rsidRDefault="00FE4CA3">
      <w:pPr>
        <w:pBdr>
          <w:top w:val="nil"/>
          <w:left w:val="nil"/>
          <w:bottom w:val="nil"/>
          <w:right w:val="nil"/>
          <w:between w:val="nil"/>
        </w:pBdr>
        <w:spacing w:before="120" w:after="120" w:line="276" w:lineRule="auto"/>
        <w:jc w:val="both"/>
        <w:rPr>
          <w:rFonts w:ascii="Arial" w:eastAsia="Arial" w:hAnsi="Arial" w:cs="Arial"/>
          <w:sz w:val="20"/>
          <w:szCs w:val="20"/>
        </w:rPr>
      </w:pPr>
    </w:p>
    <w:p w14:paraId="0000004A" w14:textId="77777777" w:rsidR="00FE4CA3" w:rsidRDefault="00FE4CA3">
      <w:pPr>
        <w:pBdr>
          <w:top w:val="nil"/>
          <w:left w:val="nil"/>
          <w:bottom w:val="nil"/>
          <w:right w:val="nil"/>
          <w:between w:val="nil"/>
        </w:pBdr>
        <w:spacing w:before="120" w:after="120" w:line="276" w:lineRule="auto"/>
        <w:jc w:val="both"/>
        <w:rPr>
          <w:rFonts w:ascii="Arial" w:eastAsia="Arial" w:hAnsi="Arial" w:cs="Arial"/>
          <w:sz w:val="20"/>
          <w:szCs w:val="20"/>
        </w:rPr>
      </w:pPr>
    </w:p>
    <w:p w14:paraId="0000004B" w14:textId="77777777" w:rsidR="00FE4CA3" w:rsidRDefault="00FE4CA3">
      <w:pPr>
        <w:pBdr>
          <w:top w:val="nil"/>
          <w:left w:val="nil"/>
          <w:bottom w:val="nil"/>
          <w:right w:val="nil"/>
          <w:between w:val="nil"/>
        </w:pBdr>
        <w:spacing w:before="120" w:after="120" w:line="276" w:lineRule="auto"/>
        <w:jc w:val="both"/>
        <w:rPr>
          <w:rFonts w:ascii="Arial" w:eastAsia="Arial" w:hAnsi="Arial" w:cs="Arial"/>
          <w:sz w:val="20"/>
          <w:szCs w:val="20"/>
        </w:rPr>
      </w:pPr>
    </w:p>
    <w:p w14:paraId="0000004C" w14:textId="77777777" w:rsidR="00FE4CA3" w:rsidRDefault="00000000">
      <w:pPr>
        <w:numPr>
          <w:ilvl w:val="1"/>
          <w:numId w:val="1"/>
        </w:numPr>
        <w:pBdr>
          <w:top w:val="nil"/>
          <w:left w:val="nil"/>
          <w:bottom w:val="nil"/>
          <w:right w:val="nil"/>
          <w:between w:val="nil"/>
        </w:pBdr>
        <w:spacing w:before="120" w:after="120" w:line="276" w:lineRule="auto"/>
        <w:jc w:val="both"/>
      </w:pPr>
      <w:bookmarkStart w:id="3" w:name="_heading=h.wfc03cedwiww" w:colFirst="0" w:colLast="0"/>
      <w:bookmarkEnd w:id="3"/>
      <w:r>
        <w:rPr>
          <w:rFonts w:ascii="Arial" w:eastAsia="Arial" w:hAnsi="Arial" w:cs="Arial"/>
          <w:sz w:val="20"/>
          <w:szCs w:val="20"/>
        </w:rPr>
        <w:t>Os bens objeto desta contratação são caracterizados como comuns, conforme justificativa constante do Estudo Técnico Preliminar.</w:t>
      </w:r>
    </w:p>
    <w:p w14:paraId="0000004D"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O objeto desta contratação não se enquadra como bem de luxo, conforme Decreto nº 10.818, de 27 de setembro de 2021.</w:t>
      </w:r>
    </w:p>
    <w:p w14:paraId="0000004E"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O prazo de vigência da contratação é de 12 meses contados do recebimento da Nota de Empenho pelo fornecedor, na forma do artigo 105 da Lei n° 14.133, de 2021.</w:t>
      </w:r>
    </w:p>
    <w:p w14:paraId="0000004F"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O contrato ou outro instrumento hábil que o substitua oferece maior detalhamento das regras que serão aplicadas em relação à vigência da contratação.</w:t>
      </w:r>
    </w:p>
    <w:p w14:paraId="00000050" w14:textId="77777777" w:rsidR="00FE4CA3" w:rsidRDefault="00000000">
      <w:pPr>
        <w:numPr>
          <w:ilvl w:val="0"/>
          <w:numId w:val="1"/>
        </w:numPr>
        <w:pBdr>
          <w:top w:val="nil"/>
          <w:left w:val="nil"/>
          <w:bottom w:val="nil"/>
          <w:right w:val="nil"/>
          <w:between w:val="nil"/>
        </w:pBdr>
        <w:spacing w:before="360" w:after="120" w:line="276" w:lineRule="auto"/>
        <w:ind w:hanging="360"/>
        <w:jc w:val="both"/>
      </w:pPr>
      <w:r>
        <w:rPr>
          <w:rFonts w:ascii="Arial" w:eastAsia="Arial" w:hAnsi="Arial" w:cs="Arial"/>
          <w:b/>
          <w:bCs/>
          <w:sz w:val="20"/>
          <w:szCs w:val="20"/>
        </w:rPr>
        <w:t>FUNDAMENTAÇÃO E DESCRIÇÃO DA NECESSIDADE DA CONTRATAÇÃO</w:t>
      </w:r>
    </w:p>
    <w:p w14:paraId="00000051" w14:textId="77777777" w:rsidR="00FE4CA3" w:rsidRDefault="00000000">
      <w:pPr>
        <w:numPr>
          <w:ilvl w:val="1"/>
          <w:numId w:val="1"/>
        </w:numPr>
        <w:pBdr>
          <w:top w:val="nil"/>
          <w:left w:val="nil"/>
          <w:bottom w:val="nil"/>
          <w:right w:val="nil"/>
          <w:between w:val="nil"/>
        </w:pBdr>
        <w:spacing w:before="120" w:after="120" w:line="276" w:lineRule="auto"/>
        <w:jc w:val="both"/>
      </w:pPr>
      <w:bookmarkStart w:id="4" w:name="_heading=h.yjuoob71lkzx" w:colFirst="0" w:colLast="0"/>
      <w:bookmarkEnd w:id="4"/>
      <w:r>
        <w:rPr>
          <w:rFonts w:ascii="Arial" w:eastAsia="Arial" w:hAnsi="Arial" w:cs="Arial"/>
          <w:sz w:val="20"/>
          <w:szCs w:val="20"/>
        </w:rPr>
        <w:t>A Fundamentação da Contratação e de seus quantitativos encontra-se pormenorizada em tópico específico dos Estudos Técnicos Preliminares, apêndice deste Termo de Referência.</w:t>
      </w:r>
    </w:p>
    <w:p w14:paraId="00000052"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O objeto da contratação está previsto no Plano de Contratações Anual 2026, conforme detalhamento a seguir:</w:t>
      </w:r>
    </w:p>
    <w:p w14:paraId="00000053" w14:textId="77777777" w:rsidR="00FE4CA3" w:rsidRDefault="00000000">
      <w:pPr>
        <w:numPr>
          <w:ilvl w:val="0"/>
          <w:numId w:val="3"/>
        </w:numPr>
        <w:pBdr>
          <w:top w:val="nil"/>
          <w:left w:val="nil"/>
          <w:bottom w:val="nil"/>
          <w:right w:val="nil"/>
          <w:between w:val="nil"/>
        </w:pBdr>
        <w:spacing w:before="120"/>
        <w:ind w:left="284" w:firstLine="0"/>
        <w:jc w:val="both"/>
        <w:rPr>
          <w:rFonts w:ascii="Arial" w:eastAsia="Arial" w:hAnsi="Arial" w:cs="Arial"/>
          <w:sz w:val="20"/>
          <w:szCs w:val="20"/>
        </w:rPr>
      </w:pPr>
      <w:r>
        <w:rPr>
          <w:rFonts w:ascii="Arial" w:eastAsia="Arial" w:hAnsi="Arial" w:cs="Arial"/>
          <w:sz w:val="20"/>
          <w:szCs w:val="20"/>
        </w:rPr>
        <w:t>ID PCA no PNCP: 34868257000181-0-000001/2026;</w:t>
      </w:r>
    </w:p>
    <w:p w14:paraId="00000054" w14:textId="77777777" w:rsidR="00FE4CA3" w:rsidRDefault="00000000">
      <w:pPr>
        <w:numPr>
          <w:ilvl w:val="0"/>
          <w:numId w:val="3"/>
        </w:numPr>
        <w:pBdr>
          <w:top w:val="nil"/>
          <w:left w:val="nil"/>
          <w:bottom w:val="nil"/>
          <w:right w:val="nil"/>
          <w:between w:val="nil"/>
        </w:pBdr>
        <w:ind w:left="284" w:firstLine="0"/>
        <w:jc w:val="both"/>
        <w:rPr>
          <w:rFonts w:ascii="Arial" w:eastAsia="Arial" w:hAnsi="Arial" w:cs="Arial"/>
          <w:sz w:val="20"/>
          <w:szCs w:val="20"/>
        </w:rPr>
      </w:pPr>
      <w:r>
        <w:rPr>
          <w:rFonts w:ascii="Arial" w:eastAsia="Arial" w:hAnsi="Arial" w:cs="Arial"/>
          <w:sz w:val="20"/>
          <w:szCs w:val="20"/>
        </w:rPr>
        <w:t>Data de publicação no PNCP: 02/10/2025;</w:t>
      </w:r>
    </w:p>
    <w:p w14:paraId="00000055" w14:textId="77777777" w:rsidR="00FE4CA3" w:rsidRDefault="00000000">
      <w:pPr>
        <w:numPr>
          <w:ilvl w:val="0"/>
          <w:numId w:val="3"/>
        </w:numPr>
        <w:pBdr>
          <w:top w:val="nil"/>
          <w:left w:val="nil"/>
          <w:bottom w:val="nil"/>
          <w:right w:val="nil"/>
          <w:between w:val="nil"/>
        </w:pBdr>
        <w:ind w:left="284" w:firstLine="0"/>
        <w:jc w:val="both"/>
        <w:rPr>
          <w:rFonts w:ascii="Arial" w:eastAsia="Arial" w:hAnsi="Arial" w:cs="Arial"/>
          <w:sz w:val="20"/>
          <w:szCs w:val="20"/>
        </w:rPr>
      </w:pPr>
      <w:r>
        <w:rPr>
          <w:rFonts w:ascii="Arial" w:eastAsia="Arial" w:hAnsi="Arial" w:cs="Arial"/>
          <w:sz w:val="20"/>
          <w:szCs w:val="20"/>
        </w:rPr>
        <w:t>Id do item no PCA:58,59,60,61,62,63;</w:t>
      </w:r>
    </w:p>
    <w:p w14:paraId="00000056" w14:textId="77777777" w:rsidR="00FE4CA3" w:rsidRDefault="00000000">
      <w:pPr>
        <w:numPr>
          <w:ilvl w:val="0"/>
          <w:numId w:val="3"/>
        </w:numPr>
        <w:pBdr>
          <w:top w:val="nil"/>
          <w:left w:val="nil"/>
          <w:bottom w:val="nil"/>
          <w:right w:val="nil"/>
          <w:between w:val="nil"/>
        </w:pBdr>
        <w:ind w:left="284" w:firstLine="0"/>
        <w:jc w:val="both"/>
        <w:rPr>
          <w:rFonts w:ascii="Arial" w:eastAsia="Arial" w:hAnsi="Arial" w:cs="Arial"/>
          <w:sz w:val="20"/>
          <w:szCs w:val="20"/>
        </w:rPr>
      </w:pPr>
      <w:r>
        <w:rPr>
          <w:rFonts w:ascii="Arial" w:eastAsia="Arial" w:hAnsi="Arial" w:cs="Arial"/>
          <w:sz w:val="20"/>
          <w:szCs w:val="20"/>
        </w:rPr>
        <w:t>Classe/Grupo: 6520,6515,6525];</w:t>
      </w:r>
    </w:p>
    <w:p w14:paraId="00000057" w14:textId="77777777" w:rsidR="00FE4CA3" w:rsidRDefault="00000000">
      <w:pPr>
        <w:numPr>
          <w:ilvl w:val="0"/>
          <w:numId w:val="3"/>
        </w:numPr>
        <w:pBdr>
          <w:top w:val="nil"/>
          <w:left w:val="nil"/>
          <w:bottom w:val="nil"/>
          <w:right w:val="nil"/>
          <w:between w:val="nil"/>
        </w:pBdr>
        <w:spacing w:after="120"/>
        <w:ind w:left="284" w:firstLine="0"/>
        <w:jc w:val="both"/>
        <w:rPr>
          <w:rFonts w:ascii="Arial" w:eastAsia="Arial" w:hAnsi="Arial" w:cs="Arial"/>
          <w:sz w:val="20"/>
          <w:szCs w:val="20"/>
        </w:rPr>
      </w:pPr>
      <w:r>
        <w:rPr>
          <w:rFonts w:ascii="Arial" w:eastAsia="Arial" w:hAnsi="Arial" w:cs="Arial"/>
          <w:sz w:val="20"/>
          <w:szCs w:val="20"/>
        </w:rPr>
        <w:t>Identificador da Futura Contratação: 154215-16;</w:t>
      </w:r>
    </w:p>
    <w:p w14:paraId="00000058" w14:textId="77777777" w:rsidR="00FE4CA3" w:rsidRDefault="00000000">
      <w:pPr>
        <w:numPr>
          <w:ilvl w:val="0"/>
          <w:numId w:val="1"/>
        </w:numPr>
        <w:pBdr>
          <w:top w:val="nil"/>
          <w:left w:val="nil"/>
          <w:bottom w:val="nil"/>
          <w:right w:val="nil"/>
          <w:between w:val="nil"/>
        </w:pBdr>
        <w:spacing w:before="360" w:after="120" w:line="276" w:lineRule="auto"/>
        <w:ind w:hanging="360"/>
        <w:jc w:val="both"/>
      </w:pPr>
      <w:r>
        <w:rPr>
          <w:rFonts w:ascii="Arial" w:eastAsia="Arial" w:hAnsi="Arial" w:cs="Arial"/>
          <w:b/>
          <w:bCs/>
          <w:sz w:val="20"/>
          <w:szCs w:val="20"/>
        </w:rPr>
        <w:t>DESCRIÇÃO DA SOLUÇÃO COMO UM TODO CONSIDERADO O CICLO DE VIDA DO OBJETO E ESPECIFICAÇÃO DO PRODUTO</w:t>
      </w:r>
    </w:p>
    <w:p w14:paraId="00000059" w14:textId="77777777" w:rsidR="00FE4CA3" w:rsidRDefault="00000000">
      <w:pPr>
        <w:numPr>
          <w:ilvl w:val="1"/>
          <w:numId w:val="1"/>
        </w:numPr>
        <w:pBdr>
          <w:top w:val="nil"/>
          <w:left w:val="nil"/>
          <w:bottom w:val="nil"/>
          <w:right w:val="nil"/>
          <w:between w:val="nil"/>
        </w:pBdr>
        <w:spacing w:before="120" w:after="120" w:line="276" w:lineRule="auto"/>
        <w:jc w:val="both"/>
      </w:pPr>
      <w:bookmarkStart w:id="5" w:name="_heading=h.oo4wu63lxud3" w:colFirst="0" w:colLast="0"/>
      <w:bookmarkEnd w:id="5"/>
      <w:r>
        <w:rPr>
          <w:rFonts w:ascii="Arial" w:eastAsia="Arial" w:hAnsi="Arial" w:cs="Arial"/>
          <w:sz w:val="20"/>
          <w:szCs w:val="20"/>
        </w:rPr>
        <w:t>A descrição da solução como um todo encontra-se pormenorizada em tópico específico dos Estudos Técnicos Preliminares, apêndice deste Termo de Referência.</w:t>
      </w:r>
    </w:p>
    <w:p w14:paraId="0000005A" w14:textId="77777777" w:rsidR="00FE4CA3" w:rsidRDefault="00000000">
      <w:pPr>
        <w:numPr>
          <w:ilvl w:val="0"/>
          <w:numId w:val="1"/>
        </w:numPr>
        <w:pBdr>
          <w:top w:val="nil"/>
          <w:left w:val="nil"/>
          <w:bottom w:val="nil"/>
          <w:right w:val="nil"/>
          <w:between w:val="nil"/>
        </w:pBdr>
        <w:spacing w:before="360" w:after="120" w:line="276" w:lineRule="auto"/>
        <w:ind w:hanging="360"/>
        <w:jc w:val="both"/>
      </w:pPr>
      <w:r>
        <w:rPr>
          <w:rFonts w:ascii="Arial" w:eastAsia="Arial" w:hAnsi="Arial" w:cs="Arial"/>
          <w:b/>
          <w:bCs/>
          <w:sz w:val="20"/>
          <w:szCs w:val="20"/>
        </w:rPr>
        <w:t>REQUISITOS DA CONTRATAÇÃO</w:t>
      </w:r>
    </w:p>
    <w:p w14:paraId="0000005B"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Sustentabilidade</w:t>
      </w:r>
    </w:p>
    <w:p w14:paraId="0000005C"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Além dos critérios de sustentabilidade eventualmente inseridos na descrição do objeto, devem ser atendidos os seguintes requisitos, que se baseiam no Guia Nacional de Contratações Sustentáveis:</w:t>
      </w:r>
    </w:p>
    <w:p w14:paraId="0000005D" w14:textId="77777777" w:rsidR="00FE4CA3" w:rsidRDefault="00000000">
      <w:pPr>
        <w:numPr>
          <w:ilvl w:val="2"/>
          <w:numId w:val="1"/>
        </w:numPr>
        <w:pBdr>
          <w:top w:val="nil"/>
          <w:left w:val="nil"/>
          <w:bottom w:val="nil"/>
          <w:right w:val="nil"/>
          <w:between w:val="nil"/>
        </w:pBdr>
        <w:spacing w:before="120" w:after="120" w:line="276" w:lineRule="auto"/>
        <w:ind w:hanging="503"/>
        <w:jc w:val="both"/>
      </w:pPr>
      <w:r>
        <w:rPr>
          <w:rFonts w:ascii="Arial" w:eastAsia="Arial" w:hAnsi="Arial" w:cs="Arial"/>
          <w:sz w:val="20"/>
          <w:szCs w:val="20"/>
        </w:rPr>
        <w:t>Priorizar equipamentos com maior durabilidade, eficiência energética e menor necessidade de manutenção corretiva...];</w:t>
      </w:r>
    </w:p>
    <w:p w14:paraId="0000005E" w14:textId="77777777" w:rsidR="00FE4CA3" w:rsidRDefault="00000000">
      <w:pPr>
        <w:numPr>
          <w:ilvl w:val="2"/>
          <w:numId w:val="1"/>
        </w:numPr>
        <w:pBdr>
          <w:top w:val="nil"/>
          <w:left w:val="nil"/>
          <w:bottom w:val="nil"/>
          <w:right w:val="nil"/>
          <w:between w:val="nil"/>
        </w:pBdr>
        <w:spacing w:before="120" w:after="120" w:line="276" w:lineRule="auto"/>
        <w:ind w:hanging="503"/>
        <w:jc w:val="both"/>
      </w:pPr>
      <w:r>
        <w:rPr>
          <w:rFonts w:ascii="Arial" w:eastAsia="Arial" w:hAnsi="Arial" w:cs="Arial"/>
          <w:sz w:val="20"/>
          <w:szCs w:val="20"/>
        </w:rPr>
        <w:t>Os equipamentos deverão possuir acondicionamento adequado, preferencialmente em embalagens recicláveis ou reutilizáveis, sempre que disponível no mercado....]; e</w:t>
      </w:r>
    </w:p>
    <w:p w14:paraId="0000005F" w14:textId="77777777" w:rsidR="00FE4CA3" w:rsidRDefault="00000000">
      <w:pPr>
        <w:numPr>
          <w:ilvl w:val="2"/>
          <w:numId w:val="1"/>
        </w:numPr>
        <w:pBdr>
          <w:top w:val="nil"/>
          <w:left w:val="nil"/>
          <w:bottom w:val="nil"/>
          <w:right w:val="nil"/>
          <w:between w:val="nil"/>
        </w:pBdr>
        <w:spacing w:before="120" w:after="120" w:line="276" w:lineRule="auto"/>
        <w:ind w:hanging="503"/>
        <w:jc w:val="both"/>
      </w:pPr>
      <w:r>
        <w:rPr>
          <w:rFonts w:ascii="Arial" w:eastAsia="Arial" w:hAnsi="Arial" w:cs="Arial"/>
          <w:sz w:val="20"/>
          <w:szCs w:val="20"/>
        </w:rPr>
        <w:t>Os fornecedores deverão observar as normas ambientais vigentes quanto ao descarte, transporte e acondicionamento dos equipamentos e componentes eletrônicos....].</w:t>
      </w:r>
    </w:p>
    <w:p w14:paraId="00000060"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Indicação de marcas ou modelos</w:t>
      </w:r>
    </w:p>
    <w:p w14:paraId="00000061"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lastRenderedPageBreak/>
        <w:t>Não será exigida marca, modelo ou fabricante específico para os itens objeto desta contratação, sendo aceitos produtos equivalentes que atendam integralmente às especificações técnicas constantes neste Termo de Referência e no Estudo Técnico Preliminar</w:t>
      </w:r>
      <w:r>
        <w:rPr>
          <w:rFonts w:ascii="Arial" w:eastAsia="Arial" w:hAnsi="Arial" w:cs="Arial"/>
          <w:strike/>
          <w:sz w:val="20"/>
          <w:szCs w:val="20"/>
        </w:rPr>
        <w:t>.</w:t>
      </w:r>
    </w:p>
    <w:p w14:paraId="00000062" w14:textId="77777777" w:rsidR="00FE4CA3" w:rsidRDefault="00FE4CA3">
      <w:pPr>
        <w:pBdr>
          <w:top w:val="nil"/>
          <w:left w:val="nil"/>
          <w:bottom w:val="nil"/>
          <w:right w:val="nil"/>
          <w:between w:val="nil"/>
        </w:pBdr>
        <w:spacing w:before="120" w:after="120" w:line="276" w:lineRule="auto"/>
        <w:jc w:val="both"/>
        <w:rPr>
          <w:rFonts w:ascii="Arial" w:eastAsia="Arial" w:hAnsi="Arial" w:cs="Arial"/>
          <w:sz w:val="20"/>
          <w:szCs w:val="20"/>
        </w:rPr>
      </w:pPr>
    </w:p>
    <w:p w14:paraId="00000063"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 xml:space="preserve">Da vedação de contratação de marca ou produto </w:t>
      </w:r>
    </w:p>
    <w:p w14:paraId="00000064"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Não se aplica, considerando que não haverá vedação prévia de marcas ou fabricantes específicos, desde que os produtos ofertados atendam integralmente às especificações técnicas estabelecidas neste Termo de Referência.</w:t>
      </w:r>
    </w:p>
    <w:p w14:paraId="00000065"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Da exigência de amostra</w:t>
      </w:r>
    </w:p>
    <w:p w14:paraId="00000066"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Não será exigida apresentação de amostras dos itens, considerando a natureza dos equipamentos e a possibilidade de análise técnica mediante catálogos, manuais, fichas técnicas e demais documentos apresentados pelos licitantes</w:t>
      </w:r>
      <w:r>
        <w:rPr>
          <w:rFonts w:ascii="Arial" w:eastAsia="Arial" w:hAnsi="Arial" w:cs="Arial"/>
          <w:strike/>
          <w:sz w:val="20"/>
          <w:szCs w:val="20"/>
        </w:rPr>
        <w:t>.</w:t>
      </w:r>
    </w:p>
    <w:p w14:paraId="00000067"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Da exigência de carta de solidariedade</w:t>
      </w:r>
    </w:p>
    <w:p w14:paraId="00000068"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Não será exigida carta de solidariedade do fabricante</w:t>
      </w:r>
      <w:r>
        <w:rPr>
          <w:rFonts w:ascii="Arial" w:eastAsia="Arial" w:hAnsi="Arial" w:cs="Arial"/>
          <w:strike/>
          <w:sz w:val="20"/>
          <w:szCs w:val="20"/>
        </w:rPr>
        <w:t xml:space="preserve">. </w:t>
      </w:r>
    </w:p>
    <w:p w14:paraId="00000069"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Subcontratação</w:t>
      </w:r>
    </w:p>
    <w:p w14:paraId="0000006A"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Não será admitida a subcontratação do objeto contratual.</w:t>
      </w:r>
    </w:p>
    <w:p w14:paraId="0000006B"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Garantia da contratação</w:t>
      </w:r>
    </w:p>
    <w:p w14:paraId="0000006C" w14:textId="77777777" w:rsidR="00FE4CA3" w:rsidRDefault="00000000">
      <w:pPr>
        <w:numPr>
          <w:ilvl w:val="1"/>
          <w:numId w:val="1"/>
        </w:numPr>
        <w:pBdr>
          <w:top w:val="nil"/>
          <w:left w:val="nil"/>
          <w:bottom w:val="nil"/>
          <w:right w:val="nil"/>
          <w:between w:val="nil"/>
        </w:pBdr>
        <w:spacing w:before="120" w:after="120" w:line="276" w:lineRule="auto"/>
        <w:jc w:val="both"/>
      </w:pPr>
      <w:bookmarkStart w:id="6" w:name="_heading=h.8fc7hhmh7rm7" w:colFirst="0" w:colLast="0"/>
      <w:bookmarkEnd w:id="6"/>
      <w:r>
        <w:rPr>
          <w:rFonts w:ascii="Arial" w:eastAsia="Arial" w:hAnsi="Arial" w:cs="Arial"/>
          <w:sz w:val="20"/>
          <w:szCs w:val="20"/>
        </w:rPr>
        <w:t>Não haverá exigência da garantia da contratação dos art. 96 e seguintes da Lei nº 14.133, de 2021, pelas razões constantes do Estudo Técnico Preliminar.</w:t>
      </w:r>
    </w:p>
    <w:p w14:paraId="0000006D" w14:textId="77777777" w:rsidR="00FE4CA3" w:rsidRDefault="00000000">
      <w:pPr>
        <w:pBdr>
          <w:top w:val="nil"/>
          <w:left w:val="nil"/>
          <w:bottom w:val="nil"/>
          <w:right w:val="nil"/>
          <w:between w:val="nil"/>
        </w:pBdr>
        <w:spacing w:before="36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Reserva de cotas para microempresas e empresas de pequeno porte:</w:t>
      </w:r>
    </w:p>
    <w:p w14:paraId="0000006E"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 xml:space="preserve">A participação na presente contratação será destinada exclusivamente a microempresas e empresas de pequeno porte, nos termos do art. 48, inciso I, da Lei Complementar nº 123/2006, considerando que o valor estimado da contratação é inferior a R$ 80.000,00. </w:t>
      </w:r>
    </w:p>
    <w:p w14:paraId="0000006F"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Margem de Preferência:</w:t>
      </w:r>
    </w:p>
    <w:p w14:paraId="00000070"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 xml:space="preserve">Não será aplicada margem de preferência na presente contratação. </w:t>
      </w:r>
    </w:p>
    <w:p w14:paraId="00000071" w14:textId="77777777" w:rsidR="00FE4CA3" w:rsidRDefault="00000000">
      <w:pPr>
        <w:numPr>
          <w:ilvl w:val="0"/>
          <w:numId w:val="1"/>
        </w:numPr>
        <w:pBdr>
          <w:top w:val="nil"/>
          <w:left w:val="nil"/>
          <w:bottom w:val="nil"/>
          <w:right w:val="nil"/>
          <w:between w:val="nil"/>
        </w:pBdr>
        <w:spacing w:before="360" w:after="120" w:line="276" w:lineRule="auto"/>
        <w:ind w:hanging="360"/>
        <w:jc w:val="both"/>
      </w:pPr>
      <w:r>
        <w:rPr>
          <w:rFonts w:ascii="Arial" w:eastAsia="Arial" w:hAnsi="Arial" w:cs="Arial"/>
          <w:b/>
          <w:bCs/>
          <w:sz w:val="20"/>
          <w:szCs w:val="20"/>
        </w:rPr>
        <w:t>MODELO DE EXECUÇÃO DO OBJETO</w:t>
      </w:r>
    </w:p>
    <w:p w14:paraId="00000072"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Condições de Entrega</w:t>
      </w:r>
    </w:p>
    <w:p w14:paraId="00000073"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 xml:space="preserve">O prazo de entrega dos bens é de 45 dias, contados do recebimento da nota de empenho, em remessa única. </w:t>
      </w:r>
    </w:p>
    <w:p w14:paraId="00000074"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Caso não seja possível a entrega na data assinalada, a empresa deverá comunicar as razões respectivas com pelo menos  5  dias de antecedência para que qualquer pleito de prorrogação de prazo seja analisado, ressalvadas situações de caso fortuito e força maior.</w:t>
      </w:r>
      <w:r>
        <w:t xml:space="preserve"> </w:t>
      </w:r>
    </w:p>
    <w:p w14:paraId="00000075"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Os bens deverão ser entregues na Unidade Básica de Saúde localizada nas dependências da Universidade Federal do Amapá, em endereço a ser informado pela Administração no momento da emissão da nota de empenho.</w:t>
      </w:r>
    </w:p>
    <w:p w14:paraId="00000076"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Garantia, manutenção e assistência técnica</w:t>
      </w:r>
    </w:p>
    <w:p w14:paraId="00000077" w14:textId="77777777" w:rsidR="00FE4CA3" w:rsidRDefault="00000000">
      <w:pPr>
        <w:numPr>
          <w:ilvl w:val="1"/>
          <w:numId w:val="1"/>
        </w:numPr>
        <w:pBdr>
          <w:top w:val="nil"/>
          <w:left w:val="nil"/>
          <w:bottom w:val="nil"/>
          <w:right w:val="nil"/>
          <w:between w:val="nil"/>
        </w:pBdr>
        <w:spacing w:before="120" w:after="120" w:line="276" w:lineRule="auto"/>
        <w:jc w:val="both"/>
      </w:pPr>
      <w:bookmarkStart w:id="7" w:name="_heading=h.whragbwdyzkn" w:colFirst="0" w:colLast="0"/>
      <w:bookmarkEnd w:id="7"/>
      <w:r>
        <w:rPr>
          <w:rFonts w:ascii="Arial" w:eastAsia="Arial" w:hAnsi="Arial" w:cs="Arial"/>
          <w:sz w:val="20"/>
          <w:szCs w:val="20"/>
        </w:rPr>
        <w:lastRenderedPageBreak/>
        <w:t xml:space="preserve">O prazo de garantia contratual dos bens, complementar à garantia legal, será de, no mínimo, 12 meses, ou pelo prazo fornecido pelo fabricante, se superior, contado a partir do primeiro dia útil subsequente à data do recebimento definitivo do objeto. </w:t>
      </w:r>
    </w:p>
    <w:p w14:paraId="00000078"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 xml:space="preserve">Caso o prazo da garantia oferecida pelo fabricante seja inferior ao estabelecido nesta cláusula, o fornecedor deverá complementar a garantia do bem ofertado pelo período restante. </w:t>
      </w:r>
    </w:p>
    <w:p w14:paraId="00000079"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 xml:space="preserve">A garantia será prestada com vistas a manter os equipamentos fornecidos em perfeitas condições de uso, sem qualquer ônus ou custo adicional para o Contratante. </w:t>
      </w:r>
    </w:p>
    <w:p w14:paraId="0000007A"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 xml:space="preserve">A garantia abrange a realização da manutenção corretiva dos bens pelo próprio Contratado, ou, se for o caso, por meio de assistência técnica autorizada, de acordo com as normas técnicas específicas. </w:t>
      </w:r>
    </w:p>
    <w:p w14:paraId="0000007B"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 xml:space="preserve">Entende-se por manutenção corretiva aquela destinada a corrigir os defeitos apresentados pelos bens, compreendendo a substituição de peças, a realização de ajustes, reparos e correções necessárias. </w:t>
      </w:r>
    </w:p>
    <w:p w14:paraId="0000007C"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 xml:space="preserve">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14:paraId="0000007D"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 xml:space="preserve">Uma vez notificado, o Contratado realizará a reparação ou substituição dos bens que apresentarem vício ou defeito no prazo de até </w:t>
      </w:r>
      <w:r>
        <w:rPr>
          <w:rFonts w:ascii="Arial" w:eastAsia="Arial" w:hAnsi="Arial" w:cs="Arial"/>
          <w:b/>
          <w:bCs/>
          <w:sz w:val="20"/>
          <w:szCs w:val="20"/>
        </w:rPr>
        <w:t>15</w:t>
      </w:r>
      <w:r>
        <w:rPr>
          <w:rFonts w:ascii="Arial" w:eastAsia="Arial" w:hAnsi="Arial" w:cs="Arial"/>
          <w:sz w:val="20"/>
          <w:szCs w:val="20"/>
        </w:rPr>
        <w:t xml:space="preserve"> (</w:t>
      </w:r>
      <w:r>
        <w:rPr>
          <w:rFonts w:ascii="Arial" w:eastAsia="Arial" w:hAnsi="Arial" w:cs="Arial"/>
          <w:b/>
          <w:bCs/>
          <w:sz w:val="20"/>
          <w:szCs w:val="20"/>
        </w:rPr>
        <w:t>quinze</w:t>
      </w:r>
      <w:r>
        <w:rPr>
          <w:rFonts w:ascii="Arial" w:eastAsia="Arial" w:hAnsi="Arial" w:cs="Arial"/>
          <w:sz w:val="20"/>
          <w:szCs w:val="20"/>
        </w:rPr>
        <w:t>) dias úteis, já incluído nesse prazo o tempo necessário para eventual retirada e devolução do bem, a cargo do Contratado.</w:t>
      </w:r>
    </w:p>
    <w:p w14:paraId="0000007E"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 xml:space="preserve">O prazo indicado no subitem anterior, durante seu transcurso, poderá ser prorrogado uma única vez, por igual período, mediante solicitação escrita e justificada do Contratado, aceita pelo Contratante. </w:t>
      </w:r>
    </w:p>
    <w:p w14:paraId="0000007F"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 xml:space="preserve">O custo referente ao transporte dos equipamentos cobertos pela garantia será de responsabilidade do Contratado. </w:t>
      </w:r>
    </w:p>
    <w:p w14:paraId="00000080"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A garantia legal ou contratual do objeto tem prazo de vigência próprio e desvinculado daquele fixado no contrato, permitindo eventual aplicação de penalidades em caso de descumprimento de alguma de suas condições, mesmo depois de expirada a vigência contratual.</w:t>
      </w:r>
    </w:p>
    <w:p w14:paraId="00000081" w14:textId="77777777" w:rsidR="00FE4CA3" w:rsidRDefault="00000000">
      <w:pPr>
        <w:numPr>
          <w:ilvl w:val="0"/>
          <w:numId w:val="1"/>
        </w:numPr>
        <w:pBdr>
          <w:top w:val="nil"/>
          <w:left w:val="nil"/>
          <w:bottom w:val="nil"/>
          <w:right w:val="nil"/>
          <w:between w:val="nil"/>
        </w:pBdr>
        <w:spacing w:before="360" w:after="120" w:line="276" w:lineRule="auto"/>
        <w:ind w:hanging="360"/>
        <w:jc w:val="both"/>
      </w:pPr>
      <w:r>
        <w:rPr>
          <w:rFonts w:ascii="Arial" w:eastAsia="Arial" w:hAnsi="Arial" w:cs="Arial"/>
          <w:b/>
          <w:bCs/>
          <w:sz w:val="20"/>
          <w:szCs w:val="20"/>
        </w:rPr>
        <w:t>MODELO DE GESTÃO DO CONTRATO</w:t>
      </w:r>
    </w:p>
    <w:p w14:paraId="00000082"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O contrato deverá ser executado fielmente pelas partes, de acordo com as cláusulas avençadas e as normas da Lei nº 14.133, de 2021, e cada parte responderá pelas consequências de sua inexecução total ou parcial.</w:t>
      </w:r>
    </w:p>
    <w:p w14:paraId="00000083"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Em caso de impedimento, ordem de paralisação ou suspensão do contrato, o cronograma de execução será prorrogado automaticamente pelo tempo correspondente, anotadas tais circunstâncias mediante simples apostila.</w:t>
      </w:r>
    </w:p>
    <w:p w14:paraId="00000084"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As comunicações entre o órgão ou entidade e a contratada devem ser realizadas por escrito sempre que o ato exigir tal formalidade, admitindo-se o uso de mensagem eletrônica para esse fim.</w:t>
      </w:r>
    </w:p>
    <w:p w14:paraId="00000085"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O órgão ou entidade poderá convocar representante da empresa para adoção de providências que devam ser cumpridas de imediato.</w:t>
      </w:r>
    </w:p>
    <w:p w14:paraId="00000086"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lastRenderedPageBreak/>
        <w:t>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00000087"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Fiscalização</w:t>
      </w:r>
    </w:p>
    <w:p w14:paraId="00000088"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A execução do contrato deverá ser acompanhada e fiscalizada pelo(s) fiscal(is) do contrato, ou pelos respectivos substitutos.</w:t>
      </w:r>
    </w:p>
    <w:p w14:paraId="00000089"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Fiscalização Técnica</w:t>
      </w:r>
    </w:p>
    <w:p w14:paraId="0000008A"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O fiscal técnico do contrato acompanhará a execução do contrato, para que sejam cumpridas todas as condições estabelecidas no contrato, de modo a assegurar os melhores resultados para a Administração.</w:t>
      </w:r>
    </w:p>
    <w:p w14:paraId="0000008B"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O fiscal técnico do contrato anotará no histórico de gerenciamento do contrato todas as ocorrências relacionadas à execução do contrato, com a descrição do que for necessário para a regularização das faltas ou dos defeitos observados.</w:t>
      </w:r>
    </w:p>
    <w:p w14:paraId="0000008C"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Identificada qualquer inexatidão ou irregularidade, o fiscal técnico do contrato emitirá notificações para a correção da execução do contrato, determinando prazo para a correção.</w:t>
      </w:r>
    </w:p>
    <w:p w14:paraId="0000008D"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O fiscal técnico do contrato informará ao gestor do contato, em tempo hábil, a situação que demandar decisão ou adoção de medidas que ultrapassem sua competência, para que adote as medidas necessárias e saneadoras, se for o caso.</w:t>
      </w:r>
    </w:p>
    <w:p w14:paraId="0000008E"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No caso de ocorrências que possam inviabilizar a execução do contrato nas datas aprazadas, o fiscal técnico do contrato comunicará o fato imediatamente ao gestor do contrato.</w:t>
      </w:r>
    </w:p>
    <w:p w14:paraId="0000008F"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O fiscal técnico do contrato comunicará ao gestor do contrato, em tempo hábil, o término do contrato sob sua responsabilidade, com vistas à renovação tempestiva ou à prorrogação contratual.</w:t>
      </w:r>
    </w:p>
    <w:p w14:paraId="00000090"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Fiscalização Administrativa</w:t>
      </w:r>
    </w:p>
    <w:p w14:paraId="00000091"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w:t>
      </w:r>
    </w:p>
    <w:p w14:paraId="00000092"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Caso ocorra descumprimento das obrigações contratuais, o fiscal administrativo do contrato atuará tempestivamente na solução do problema, reportando ao gestor do contrato para que tome as providências cabíveis, quando ultrapassar a sua competência.</w:t>
      </w:r>
    </w:p>
    <w:p w14:paraId="00000093"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 xml:space="preserve">A fiscalização de que trata esta cláusula não exclui nem reduz a responsabilidade do Contratado, inclusive perante terceiros, por qualquer irregularidade, ainda que resultante de imperfeições técnicas, vícios redibitórios, ou emprego de material inadequado ou de qualidade inferior e, na ocorrência desta, não implica corresponsabilidade da Contratante ou de seus agentes, gestores e fiscais, de conformidade. </w:t>
      </w:r>
    </w:p>
    <w:p w14:paraId="00000094"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Gestor do Contrato</w:t>
      </w:r>
    </w:p>
    <w:p w14:paraId="00000095"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Cabe ao gestor do contrato:</w:t>
      </w:r>
    </w:p>
    <w:p w14:paraId="00000096" w14:textId="77777777" w:rsidR="00FE4CA3" w:rsidRDefault="00000000">
      <w:pPr>
        <w:numPr>
          <w:ilvl w:val="2"/>
          <w:numId w:val="1"/>
        </w:numPr>
        <w:pBdr>
          <w:top w:val="nil"/>
          <w:left w:val="nil"/>
          <w:bottom w:val="nil"/>
          <w:right w:val="nil"/>
          <w:between w:val="nil"/>
        </w:pBdr>
        <w:spacing w:before="120" w:after="120" w:line="276" w:lineRule="auto"/>
        <w:ind w:hanging="503"/>
        <w:jc w:val="both"/>
      </w:pPr>
      <w:r>
        <w:rPr>
          <w:rFonts w:ascii="Arial" w:eastAsia="Arial" w:hAnsi="Arial" w:cs="Arial"/>
          <w:sz w:val="20"/>
          <w:szCs w:val="20"/>
        </w:rPr>
        <w:lastRenderedPageBreak/>
        <w:t>coordenar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w:t>
      </w:r>
    </w:p>
    <w:p w14:paraId="00000097" w14:textId="77777777" w:rsidR="00FE4CA3" w:rsidRDefault="00000000">
      <w:pPr>
        <w:numPr>
          <w:ilvl w:val="2"/>
          <w:numId w:val="1"/>
        </w:numPr>
        <w:pBdr>
          <w:top w:val="nil"/>
          <w:left w:val="nil"/>
          <w:bottom w:val="nil"/>
          <w:right w:val="nil"/>
          <w:between w:val="nil"/>
        </w:pBdr>
        <w:spacing w:before="120" w:after="120" w:line="276" w:lineRule="auto"/>
        <w:ind w:hanging="503"/>
        <w:jc w:val="both"/>
      </w:pPr>
      <w:r>
        <w:rPr>
          <w:rFonts w:ascii="Arial" w:eastAsia="Arial" w:hAnsi="Arial" w:cs="Arial"/>
          <w:sz w:val="20"/>
          <w:szCs w:val="20"/>
        </w:rPr>
        <w:t>acompanhar os registros realizados pelos fiscais do contrato, de todas as ocorrências relacionadas à execução do contrato e as medidas adotadas, informando, se for o caso, à autoridade superior àquelas que ultrapassarem a sua competência.</w:t>
      </w:r>
    </w:p>
    <w:p w14:paraId="00000098" w14:textId="77777777" w:rsidR="00FE4CA3" w:rsidRDefault="00000000">
      <w:pPr>
        <w:numPr>
          <w:ilvl w:val="2"/>
          <w:numId w:val="1"/>
        </w:numPr>
        <w:pBdr>
          <w:top w:val="nil"/>
          <w:left w:val="nil"/>
          <w:bottom w:val="nil"/>
          <w:right w:val="nil"/>
          <w:between w:val="nil"/>
        </w:pBdr>
        <w:spacing w:before="120" w:after="120" w:line="276" w:lineRule="auto"/>
        <w:ind w:hanging="503"/>
        <w:jc w:val="both"/>
      </w:pPr>
      <w:r>
        <w:rPr>
          <w:rFonts w:ascii="Arial" w:eastAsia="Arial" w:hAnsi="Arial" w:cs="Arial"/>
          <w:sz w:val="20"/>
          <w:szCs w:val="20"/>
        </w:rPr>
        <w:t>acompanhar a manutenção das condições de habilitação da contratada, para fins de empenho de despesa e pagamento, e anotará os problemas que obstem o fluxo normal da liquidação e do pagamento da despesa no relatório de riscos eventuais.</w:t>
      </w:r>
    </w:p>
    <w:p w14:paraId="00000099" w14:textId="77777777" w:rsidR="00FE4CA3" w:rsidRDefault="00000000">
      <w:pPr>
        <w:numPr>
          <w:ilvl w:val="2"/>
          <w:numId w:val="1"/>
        </w:numPr>
        <w:pBdr>
          <w:top w:val="nil"/>
          <w:left w:val="nil"/>
          <w:bottom w:val="nil"/>
          <w:right w:val="nil"/>
          <w:between w:val="nil"/>
        </w:pBdr>
        <w:spacing w:before="120" w:after="120" w:line="276" w:lineRule="auto"/>
        <w:ind w:hanging="503"/>
        <w:jc w:val="both"/>
      </w:pPr>
      <w:r>
        <w:rPr>
          <w:rFonts w:ascii="Arial" w:eastAsia="Arial" w:hAnsi="Arial" w:cs="Arial"/>
          <w:sz w:val="20"/>
          <w:szCs w:val="20"/>
        </w:rPr>
        <w:t>emitir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w:t>
      </w:r>
    </w:p>
    <w:p w14:paraId="0000009A" w14:textId="77777777" w:rsidR="00FE4CA3" w:rsidRDefault="00000000">
      <w:pPr>
        <w:numPr>
          <w:ilvl w:val="2"/>
          <w:numId w:val="1"/>
        </w:numPr>
        <w:pBdr>
          <w:top w:val="nil"/>
          <w:left w:val="nil"/>
          <w:bottom w:val="nil"/>
          <w:right w:val="nil"/>
          <w:between w:val="nil"/>
        </w:pBdr>
        <w:spacing w:before="120" w:after="120" w:line="276" w:lineRule="auto"/>
        <w:ind w:hanging="503"/>
        <w:jc w:val="both"/>
      </w:pPr>
      <w:r>
        <w:rPr>
          <w:rFonts w:ascii="Arial" w:eastAsia="Arial" w:hAnsi="Arial" w:cs="Arial"/>
          <w:sz w:val="20"/>
          <w:szCs w:val="20"/>
        </w:rPr>
        <w:t>tomar providências para a formalização de processo administrativo de responsabilização para fins de aplicação de sanções, a ser conduzido pela comissão de que trata o art. 158 da Lei nº 14.133, de 2021, ou pelo agente ou pelo setor com competência para tal, conforme o caso.</w:t>
      </w:r>
    </w:p>
    <w:p w14:paraId="0000009B" w14:textId="77777777" w:rsidR="00FE4CA3" w:rsidRDefault="00000000">
      <w:pPr>
        <w:numPr>
          <w:ilvl w:val="2"/>
          <w:numId w:val="1"/>
        </w:numPr>
        <w:pBdr>
          <w:top w:val="nil"/>
          <w:left w:val="nil"/>
          <w:bottom w:val="nil"/>
          <w:right w:val="nil"/>
          <w:between w:val="nil"/>
        </w:pBdr>
        <w:spacing w:before="120" w:after="120" w:line="276" w:lineRule="auto"/>
        <w:ind w:hanging="503"/>
        <w:jc w:val="both"/>
      </w:pPr>
      <w:r>
        <w:rPr>
          <w:rFonts w:ascii="Arial" w:eastAsia="Arial" w:hAnsi="Arial" w:cs="Arial"/>
          <w:sz w:val="20"/>
          <w:szCs w:val="20"/>
        </w:rPr>
        <w:t>elaborar relatório final com informações sobre a consecução dos objetivos que tenham justificado a contratação e eventuais condutas a serem adotadas para o aprimoramento das atividades da Administração.</w:t>
      </w:r>
    </w:p>
    <w:p w14:paraId="0000009C" w14:textId="77777777" w:rsidR="00FE4CA3" w:rsidRDefault="00000000">
      <w:pPr>
        <w:numPr>
          <w:ilvl w:val="2"/>
          <w:numId w:val="1"/>
        </w:numPr>
        <w:pBdr>
          <w:top w:val="nil"/>
          <w:left w:val="nil"/>
          <w:bottom w:val="nil"/>
          <w:right w:val="nil"/>
          <w:between w:val="nil"/>
        </w:pBdr>
        <w:spacing w:before="120" w:after="120" w:line="276" w:lineRule="auto"/>
        <w:ind w:hanging="503"/>
        <w:jc w:val="both"/>
      </w:pPr>
      <w:r>
        <w:rPr>
          <w:rFonts w:ascii="Arial" w:eastAsia="Arial" w:hAnsi="Arial" w:cs="Arial"/>
          <w:sz w:val="20"/>
          <w:szCs w:val="20"/>
        </w:rPr>
        <w:t>enviar a documentação pertinente ao setor de contratos para a formalização dos procedimentos de liquidação e pagamento, no valor dimensionado pela fiscalização e gestão nos termos do contrato.</w:t>
      </w:r>
    </w:p>
    <w:p w14:paraId="0000009D" w14:textId="77777777" w:rsidR="00FE4CA3" w:rsidRDefault="00000000">
      <w:pPr>
        <w:numPr>
          <w:ilvl w:val="0"/>
          <w:numId w:val="1"/>
        </w:numPr>
        <w:pBdr>
          <w:top w:val="nil"/>
          <w:left w:val="nil"/>
          <w:bottom w:val="nil"/>
          <w:right w:val="nil"/>
          <w:between w:val="nil"/>
        </w:pBdr>
        <w:spacing w:before="360" w:after="120" w:line="276" w:lineRule="auto"/>
        <w:ind w:hanging="360"/>
        <w:jc w:val="both"/>
      </w:pPr>
      <w:bookmarkStart w:id="8" w:name="_heading=h.bcpfe8k8fuq7" w:colFirst="0" w:colLast="0"/>
      <w:bookmarkEnd w:id="8"/>
      <w:r>
        <w:rPr>
          <w:rFonts w:ascii="Arial" w:eastAsia="Arial" w:hAnsi="Arial" w:cs="Arial"/>
          <w:b/>
          <w:bCs/>
          <w:sz w:val="20"/>
          <w:szCs w:val="20"/>
        </w:rPr>
        <w:t>INFRAÇÕES E SANÇÕES ADMINISTRATIVAS</w:t>
      </w:r>
    </w:p>
    <w:p w14:paraId="0000009E"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Comete infração administrativa, nos termos da Lei nº 14.133, de 2021, o Contratado que:</w:t>
      </w:r>
    </w:p>
    <w:p w14:paraId="0000009F" w14:textId="77777777" w:rsidR="00FE4CA3" w:rsidRDefault="00000000">
      <w:pPr>
        <w:numPr>
          <w:ilvl w:val="0"/>
          <w:numId w:val="2"/>
        </w:numPr>
        <w:pBdr>
          <w:top w:val="nil"/>
          <w:left w:val="nil"/>
          <w:bottom w:val="nil"/>
          <w:right w:val="nil"/>
          <w:between w:val="nil"/>
        </w:pBdr>
        <w:spacing w:before="120" w:after="120" w:line="276" w:lineRule="auto"/>
        <w:ind w:left="284" w:firstLine="0"/>
        <w:jc w:val="both"/>
        <w:rPr>
          <w:rFonts w:ascii="Arial" w:eastAsia="Arial" w:hAnsi="Arial" w:cs="Arial"/>
          <w:sz w:val="20"/>
          <w:szCs w:val="20"/>
        </w:rPr>
      </w:pPr>
      <w:r>
        <w:rPr>
          <w:rFonts w:ascii="Arial" w:eastAsia="Arial" w:hAnsi="Arial" w:cs="Arial"/>
          <w:sz w:val="20"/>
          <w:szCs w:val="20"/>
        </w:rPr>
        <w:t>der causa à inexecução parcial do contrato;</w:t>
      </w:r>
    </w:p>
    <w:p w14:paraId="000000A0" w14:textId="77777777" w:rsidR="00FE4CA3" w:rsidRDefault="00000000">
      <w:pPr>
        <w:numPr>
          <w:ilvl w:val="0"/>
          <w:numId w:val="2"/>
        </w:numPr>
        <w:pBdr>
          <w:top w:val="nil"/>
          <w:left w:val="nil"/>
          <w:bottom w:val="nil"/>
          <w:right w:val="nil"/>
          <w:between w:val="nil"/>
        </w:pBdr>
        <w:spacing w:before="120" w:after="120" w:line="276" w:lineRule="auto"/>
        <w:ind w:left="284" w:firstLine="0"/>
        <w:jc w:val="both"/>
        <w:rPr>
          <w:rFonts w:ascii="Arial" w:eastAsia="Arial" w:hAnsi="Arial" w:cs="Arial"/>
          <w:sz w:val="20"/>
          <w:szCs w:val="20"/>
        </w:rPr>
      </w:pPr>
      <w:r>
        <w:rPr>
          <w:rFonts w:ascii="Arial" w:eastAsia="Arial" w:hAnsi="Arial" w:cs="Arial"/>
          <w:sz w:val="20"/>
          <w:szCs w:val="20"/>
        </w:rPr>
        <w:t>der causa à inexecução parcial do contrato que cause grave dano à Administração ou ao funcionamento dos serviços públicos ou ao interesse coletivo;</w:t>
      </w:r>
    </w:p>
    <w:p w14:paraId="000000A1" w14:textId="77777777" w:rsidR="00FE4CA3" w:rsidRDefault="00000000">
      <w:pPr>
        <w:numPr>
          <w:ilvl w:val="0"/>
          <w:numId w:val="2"/>
        </w:numPr>
        <w:pBdr>
          <w:top w:val="nil"/>
          <w:left w:val="nil"/>
          <w:bottom w:val="nil"/>
          <w:right w:val="nil"/>
          <w:between w:val="nil"/>
        </w:pBdr>
        <w:spacing w:before="120" w:after="120" w:line="276" w:lineRule="auto"/>
        <w:ind w:left="284" w:firstLine="0"/>
        <w:jc w:val="both"/>
        <w:rPr>
          <w:rFonts w:ascii="Arial" w:eastAsia="Arial" w:hAnsi="Arial" w:cs="Arial"/>
          <w:sz w:val="20"/>
          <w:szCs w:val="20"/>
        </w:rPr>
      </w:pPr>
      <w:r>
        <w:rPr>
          <w:rFonts w:ascii="Arial" w:eastAsia="Arial" w:hAnsi="Arial" w:cs="Arial"/>
          <w:sz w:val="20"/>
          <w:szCs w:val="20"/>
        </w:rPr>
        <w:t>der causa à inexecução total do contrato;</w:t>
      </w:r>
    </w:p>
    <w:p w14:paraId="000000A2" w14:textId="77777777" w:rsidR="00FE4CA3" w:rsidRDefault="00000000">
      <w:pPr>
        <w:numPr>
          <w:ilvl w:val="0"/>
          <w:numId w:val="2"/>
        </w:numPr>
        <w:pBdr>
          <w:top w:val="nil"/>
          <w:left w:val="nil"/>
          <w:bottom w:val="nil"/>
          <w:right w:val="nil"/>
          <w:between w:val="nil"/>
        </w:pBdr>
        <w:spacing w:before="120" w:after="120" w:line="276" w:lineRule="auto"/>
        <w:ind w:left="284" w:firstLine="0"/>
        <w:jc w:val="both"/>
        <w:rPr>
          <w:rFonts w:ascii="Arial" w:eastAsia="Arial" w:hAnsi="Arial" w:cs="Arial"/>
          <w:sz w:val="20"/>
          <w:szCs w:val="20"/>
        </w:rPr>
      </w:pPr>
      <w:r>
        <w:rPr>
          <w:rFonts w:ascii="Arial" w:eastAsia="Arial" w:hAnsi="Arial" w:cs="Arial"/>
          <w:sz w:val="20"/>
          <w:szCs w:val="20"/>
        </w:rPr>
        <w:t>ensejar o retardamento da execução ou da entrega do objeto da contratação sem motivo justificado;</w:t>
      </w:r>
    </w:p>
    <w:p w14:paraId="000000A3" w14:textId="77777777" w:rsidR="00FE4CA3" w:rsidRDefault="00000000">
      <w:pPr>
        <w:numPr>
          <w:ilvl w:val="0"/>
          <w:numId w:val="2"/>
        </w:numPr>
        <w:pBdr>
          <w:top w:val="nil"/>
          <w:left w:val="nil"/>
          <w:bottom w:val="nil"/>
          <w:right w:val="nil"/>
          <w:between w:val="nil"/>
        </w:pBdr>
        <w:spacing w:before="120" w:after="120" w:line="276" w:lineRule="auto"/>
        <w:ind w:left="284" w:firstLine="0"/>
        <w:jc w:val="both"/>
        <w:rPr>
          <w:rFonts w:ascii="Arial" w:eastAsia="Arial" w:hAnsi="Arial" w:cs="Arial"/>
          <w:sz w:val="20"/>
          <w:szCs w:val="20"/>
        </w:rPr>
      </w:pPr>
      <w:r>
        <w:rPr>
          <w:rFonts w:ascii="Arial" w:eastAsia="Arial" w:hAnsi="Arial" w:cs="Arial"/>
          <w:sz w:val="20"/>
          <w:szCs w:val="20"/>
        </w:rPr>
        <w:t>apresentar documentação falsa ou prestar declaração falsa durante a execução do contrato;</w:t>
      </w:r>
    </w:p>
    <w:p w14:paraId="000000A4" w14:textId="77777777" w:rsidR="00FE4CA3" w:rsidRDefault="00000000">
      <w:pPr>
        <w:numPr>
          <w:ilvl w:val="0"/>
          <w:numId w:val="2"/>
        </w:numPr>
        <w:pBdr>
          <w:top w:val="nil"/>
          <w:left w:val="nil"/>
          <w:bottom w:val="nil"/>
          <w:right w:val="nil"/>
          <w:between w:val="nil"/>
        </w:pBdr>
        <w:spacing w:before="120" w:after="120" w:line="276" w:lineRule="auto"/>
        <w:ind w:left="284" w:firstLine="0"/>
        <w:jc w:val="both"/>
        <w:rPr>
          <w:rFonts w:ascii="Arial" w:eastAsia="Arial" w:hAnsi="Arial" w:cs="Arial"/>
          <w:sz w:val="20"/>
          <w:szCs w:val="20"/>
        </w:rPr>
      </w:pPr>
      <w:r>
        <w:rPr>
          <w:rFonts w:ascii="Arial" w:eastAsia="Arial" w:hAnsi="Arial" w:cs="Arial"/>
          <w:sz w:val="20"/>
          <w:szCs w:val="20"/>
        </w:rPr>
        <w:lastRenderedPageBreak/>
        <w:t>praticar ato fraudulento na execução do contrato;</w:t>
      </w:r>
    </w:p>
    <w:p w14:paraId="000000A5" w14:textId="77777777" w:rsidR="00FE4CA3" w:rsidRDefault="00000000">
      <w:pPr>
        <w:numPr>
          <w:ilvl w:val="0"/>
          <w:numId w:val="2"/>
        </w:numPr>
        <w:pBdr>
          <w:top w:val="nil"/>
          <w:left w:val="nil"/>
          <w:bottom w:val="nil"/>
          <w:right w:val="nil"/>
          <w:between w:val="nil"/>
        </w:pBdr>
        <w:spacing w:before="120" w:after="120" w:line="276" w:lineRule="auto"/>
        <w:ind w:left="284" w:firstLine="0"/>
        <w:jc w:val="both"/>
        <w:rPr>
          <w:rFonts w:ascii="Arial" w:eastAsia="Arial" w:hAnsi="Arial" w:cs="Arial"/>
          <w:sz w:val="20"/>
          <w:szCs w:val="20"/>
        </w:rPr>
      </w:pPr>
      <w:r>
        <w:rPr>
          <w:rFonts w:ascii="Arial" w:eastAsia="Arial" w:hAnsi="Arial" w:cs="Arial"/>
          <w:sz w:val="20"/>
          <w:szCs w:val="20"/>
        </w:rPr>
        <w:t>comportar-se de modo inidôneo ou cometer fraude de qualquer natureza;</w:t>
      </w:r>
    </w:p>
    <w:p w14:paraId="000000A6" w14:textId="77777777" w:rsidR="00FE4CA3" w:rsidRDefault="00000000">
      <w:pPr>
        <w:numPr>
          <w:ilvl w:val="0"/>
          <w:numId w:val="2"/>
        </w:numPr>
        <w:pBdr>
          <w:top w:val="nil"/>
          <w:left w:val="nil"/>
          <w:bottom w:val="nil"/>
          <w:right w:val="nil"/>
          <w:between w:val="nil"/>
        </w:pBdr>
        <w:spacing w:before="120" w:after="120" w:line="276" w:lineRule="auto"/>
        <w:ind w:left="284" w:firstLine="0"/>
        <w:jc w:val="both"/>
        <w:rPr>
          <w:rFonts w:ascii="Arial" w:eastAsia="Arial" w:hAnsi="Arial" w:cs="Arial"/>
          <w:sz w:val="20"/>
          <w:szCs w:val="20"/>
        </w:rPr>
      </w:pPr>
      <w:r>
        <w:rPr>
          <w:rFonts w:ascii="Arial" w:eastAsia="Arial" w:hAnsi="Arial" w:cs="Arial"/>
          <w:sz w:val="20"/>
          <w:szCs w:val="20"/>
        </w:rPr>
        <w:t>praticar ato lesivo previsto no art. 5º da Lei nº 12.846, de 1º de agosto de 2013.</w:t>
      </w:r>
    </w:p>
    <w:p w14:paraId="000000A7"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Serão aplicadas ao Contratado que incorrer nas infrações acima descritas as seguintes sanções:</w:t>
      </w:r>
    </w:p>
    <w:p w14:paraId="000000A8" w14:textId="77777777" w:rsidR="00FE4CA3" w:rsidRDefault="00000000">
      <w:pPr>
        <w:numPr>
          <w:ilvl w:val="2"/>
          <w:numId w:val="1"/>
        </w:numPr>
        <w:pBdr>
          <w:top w:val="nil"/>
          <w:left w:val="nil"/>
          <w:bottom w:val="nil"/>
          <w:right w:val="nil"/>
          <w:between w:val="nil"/>
        </w:pBdr>
        <w:spacing w:before="120" w:after="120" w:line="276" w:lineRule="auto"/>
        <w:ind w:hanging="503"/>
        <w:jc w:val="both"/>
        <w:rPr>
          <w:rFonts w:ascii="Arial" w:eastAsia="Arial" w:hAnsi="Arial" w:cs="Arial"/>
          <w:sz w:val="20"/>
          <w:szCs w:val="20"/>
        </w:rPr>
      </w:pPr>
      <w:r>
        <w:rPr>
          <w:rFonts w:ascii="Arial" w:eastAsia="Arial" w:hAnsi="Arial" w:cs="Arial"/>
          <w:sz w:val="20"/>
          <w:szCs w:val="20"/>
        </w:rPr>
        <w:t>Advertência, quando o Contratado der causa à inexecução parcial do contrato, sempre que não se justificar a imposição de penalidade mais grave;</w:t>
      </w:r>
    </w:p>
    <w:p w14:paraId="000000A9" w14:textId="77777777" w:rsidR="00FE4CA3" w:rsidRDefault="00000000">
      <w:pPr>
        <w:numPr>
          <w:ilvl w:val="2"/>
          <w:numId w:val="1"/>
        </w:numPr>
        <w:pBdr>
          <w:top w:val="nil"/>
          <w:left w:val="nil"/>
          <w:bottom w:val="nil"/>
          <w:right w:val="nil"/>
          <w:between w:val="nil"/>
        </w:pBdr>
        <w:spacing w:before="120" w:after="120" w:line="276" w:lineRule="auto"/>
        <w:ind w:hanging="503"/>
        <w:jc w:val="both"/>
        <w:rPr>
          <w:rFonts w:ascii="Arial" w:eastAsia="Arial" w:hAnsi="Arial" w:cs="Arial"/>
          <w:sz w:val="20"/>
          <w:szCs w:val="20"/>
        </w:rPr>
      </w:pPr>
      <w:r>
        <w:rPr>
          <w:rFonts w:ascii="Arial" w:eastAsia="Arial" w:hAnsi="Arial" w:cs="Arial"/>
          <w:sz w:val="20"/>
          <w:szCs w:val="20"/>
        </w:rPr>
        <w:t>Impedimento de licitar e contratar, quando praticadas as condutas descritas nas alíneas “b”, “c” e “d” do subitem acima, sempre que não se justificar a imposição de penalidade mais grave;</w:t>
      </w:r>
    </w:p>
    <w:p w14:paraId="000000AA" w14:textId="77777777" w:rsidR="00FE4CA3" w:rsidRDefault="00000000">
      <w:pPr>
        <w:numPr>
          <w:ilvl w:val="2"/>
          <w:numId w:val="1"/>
        </w:numPr>
        <w:pBdr>
          <w:top w:val="nil"/>
          <w:left w:val="nil"/>
          <w:bottom w:val="nil"/>
          <w:right w:val="nil"/>
          <w:between w:val="nil"/>
        </w:pBdr>
        <w:spacing w:before="120" w:after="120" w:line="276" w:lineRule="auto"/>
        <w:ind w:hanging="503"/>
        <w:jc w:val="both"/>
        <w:rPr>
          <w:rFonts w:ascii="Arial" w:eastAsia="Arial" w:hAnsi="Arial" w:cs="Arial"/>
          <w:sz w:val="20"/>
          <w:szCs w:val="20"/>
        </w:rPr>
      </w:pPr>
      <w:r>
        <w:rPr>
          <w:rFonts w:ascii="Arial" w:eastAsia="Arial" w:hAnsi="Arial" w:cs="Arial"/>
          <w:sz w:val="20"/>
          <w:szCs w:val="20"/>
        </w:rPr>
        <w:t>Declaração de inidoneidade para licitar e contratar, quando praticadas as condutas descritas nas alíneas “e”, “f”, “g” e “h” do subitem acima, bem como nas alíneas “b”, “c” e “d”, que justifiquem a imposição de penalidade mais grave.</w:t>
      </w:r>
    </w:p>
    <w:p w14:paraId="000000AB" w14:textId="77777777" w:rsidR="00FE4CA3" w:rsidRDefault="00000000">
      <w:pPr>
        <w:numPr>
          <w:ilvl w:val="2"/>
          <w:numId w:val="1"/>
        </w:numPr>
        <w:pBdr>
          <w:top w:val="nil"/>
          <w:left w:val="nil"/>
          <w:bottom w:val="nil"/>
          <w:right w:val="nil"/>
          <w:between w:val="nil"/>
        </w:pBdr>
        <w:spacing w:before="120" w:after="120" w:line="276" w:lineRule="auto"/>
        <w:ind w:hanging="503"/>
        <w:jc w:val="both"/>
        <w:rPr>
          <w:rFonts w:ascii="Arial" w:eastAsia="Arial" w:hAnsi="Arial" w:cs="Arial"/>
          <w:sz w:val="20"/>
          <w:szCs w:val="20"/>
        </w:rPr>
      </w:pPr>
      <w:r>
        <w:rPr>
          <w:rFonts w:ascii="Arial" w:eastAsia="Arial" w:hAnsi="Arial" w:cs="Arial"/>
          <w:sz w:val="20"/>
          <w:szCs w:val="20"/>
        </w:rPr>
        <w:t>Multa:</w:t>
      </w:r>
    </w:p>
    <w:p w14:paraId="000000AC" w14:textId="77777777" w:rsidR="00FE4CA3" w:rsidRDefault="00000000">
      <w:pPr>
        <w:numPr>
          <w:ilvl w:val="3"/>
          <w:numId w:val="1"/>
        </w:numPr>
        <w:pBdr>
          <w:top w:val="nil"/>
          <w:left w:val="nil"/>
          <w:bottom w:val="nil"/>
          <w:right w:val="nil"/>
          <w:between w:val="nil"/>
        </w:pBdr>
        <w:spacing w:before="120" w:after="120" w:line="276" w:lineRule="auto"/>
        <w:jc w:val="both"/>
        <w:rPr>
          <w:rFonts w:ascii="Arial" w:eastAsia="Arial" w:hAnsi="Arial" w:cs="Arial"/>
          <w:sz w:val="20"/>
          <w:szCs w:val="20"/>
        </w:rPr>
      </w:pPr>
      <w:r>
        <w:rPr>
          <w:rFonts w:ascii="Arial" w:eastAsia="Arial" w:hAnsi="Arial" w:cs="Arial"/>
          <w:sz w:val="20"/>
          <w:szCs w:val="20"/>
        </w:rPr>
        <w:t xml:space="preserve">Moratória, para as infrações descritas no item “d”, de </w:t>
      </w:r>
      <w:r>
        <w:rPr>
          <w:rFonts w:ascii="Arial" w:eastAsia="Arial" w:hAnsi="Arial" w:cs="Arial"/>
          <w:b/>
          <w:bCs/>
          <w:sz w:val="20"/>
          <w:szCs w:val="20"/>
        </w:rPr>
        <w:t>0,05</w:t>
      </w:r>
      <w:r>
        <w:rPr>
          <w:rFonts w:ascii="Arial" w:eastAsia="Arial" w:hAnsi="Arial" w:cs="Arial"/>
          <w:sz w:val="20"/>
          <w:szCs w:val="20"/>
        </w:rPr>
        <w:t xml:space="preserve">% (cinco décimos por cento) por dia de atraso injustificado sobre o valor da parcela inadimplida, até o limite de </w:t>
      </w:r>
      <w:r>
        <w:rPr>
          <w:rFonts w:ascii="Arial" w:eastAsia="Arial" w:hAnsi="Arial" w:cs="Arial"/>
          <w:b/>
          <w:bCs/>
          <w:sz w:val="20"/>
          <w:szCs w:val="20"/>
        </w:rPr>
        <w:t>30</w:t>
      </w:r>
      <w:r>
        <w:rPr>
          <w:rFonts w:ascii="Arial" w:eastAsia="Arial" w:hAnsi="Arial" w:cs="Arial"/>
          <w:sz w:val="20"/>
          <w:szCs w:val="20"/>
        </w:rPr>
        <w:t xml:space="preserve"> (</w:t>
      </w:r>
      <w:r>
        <w:rPr>
          <w:rFonts w:ascii="Arial" w:eastAsia="Arial" w:hAnsi="Arial" w:cs="Arial"/>
          <w:b/>
          <w:bCs/>
          <w:sz w:val="20"/>
          <w:szCs w:val="20"/>
        </w:rPr>
        <w:t>trinta</w:t>
      </w:r>
      <w:r>
        <w:rPr>
          <w:rFonts w:ascii="Arial" w:eastAsia="Arial" w:hAnsi="Arial" w:cs="Arial"/>
          <w:sz w:val="20"/>
          <w:szCs w:val="20"/>
        </w:rPr>
        <w:t>) dias</w:t>
      </w:r>
    </w:p>
    <w:p w14:paraId="000000AD" w14:textId="77777777" w:rsidR="00FE4CA3" w:rsidRDefault="00000000">
      <w:pPr>
        <w:numPr>
          <w:ilvl w:val="3"/>
          <w:numId w:val="1"/>
        </w:numPr>
        <w:pBdr>
          <w:top w:val="nil"/>
          <w:left w:val="nil"/>
          <w:bottom w:val="nil"/>
          <w:right w:val="nil"/>
          <w:between w:val="nil"/>
        </w:pBdr>
        <w:spacing w:before="120" w:after="120" w:line="276" w:lineRule="auto"/>
        <w:jc w:val="both"/>
        <w:rPr>
          <w:rFonts w:ascii="Arial" w:eastAsia="Arial" w:hAnsi="Arial" w:cs="Arial"/>
          <w:sz w:val="20"/>
          <w:szCs w:val="20"/>
        </w:rPr>
      </w:pPr>
      <w:r>
        <w:rPr>
          <w:rFonts w:ascii="Arial" w:eastAsia="Arial" w:hAnsi="Arial" w:cs="Arial"/>
          <w:sz w:val="20"/>
          <w:szCs w:val="20"/>
        </w:rPr>
        <w:t>Moratória de 0,07% (sete centésimos por cento) por dia de atraso injustificado sobre o valor total do contrato, até o máximo de 2% (dois por cento), pela inobservância do prazo fixado para apresentação, suplementação ou reposição da garantia</w:t>
      </w:r>
      <w:sdt>
        <w:sdtPr>
          <w:tag w:val="goog_rdk_0"/>
          <w:id w:val="-2070448956"/>
        </w:sdtPr>
        <w:sdtContent>
          <w:commentRangeStart w:id="9"/>
        </w:sdtContent>
      </w:sdt>
      <w:r>
        <w:rPr>
          <w:rFonts w:ascii="Arial" w:eastAsia="Arial" w:hAnsi="Arial" w:cs="Arial"/>
          <w:sz w:val="20"/>
          <w:szCs w:val="20"/>
        </w:rPr>
        <w:t>;</w:t>
      </w:r>
      <w:commentRangeEnd w:id="9"/>
      <w:r>
        <w:rPr>
          <w:rStyle w:val="Refdecomentrio"/>
          <w:rFonts w:ascii="Arial" w:eastAsia="Arial" w:hAnsi="Arial" w:cs="Arial"/>
          <w:sz w:val="20"/>
          <w:szCs w:val="20"/>
        </w:rPr>
        <w:commentReference w:id="9"/>
      </w:r>
    </w:p>
    <w:p w14:paraId="000000AE" w14:textId="77777777" w:rsidR="00FE4CA3" w:rsidRDefault="00000000">
      <w:pPr>
        <w:numPr>
          <w:ilvl w:val="4"/>
          <w:numId w:val="5"/>
        </w:numPr>
        <w:pBdr>
          <w:top w:val="nil"/>
          <w:left w:val="nil"/>
          <w:bottom w:val="nil"/>
          <w:right w:val="nil"/>
          <w:between w:val="nil"/>
        </w:pBdr>
        <w:spacing w:before="120" w:after="120" w:line="276" w:lineRule="auto"/>
        <w:ind w:left="1418" w:firstLine="0"/>
        <w:jc w:val="both"/>
        <w:rPr>
          <w:rFonts w:ascii="Arial" w:eastAsia="Arial" w:hAnsi="Arial" w:cs="Arial"/>
          <w:sz w:val="20"/>
          <w:szCs w:val="20"/>
        </w:rPr>
      </w:pPr>
      <w:r>
        <w:rPr>
          <w:rFonts w:ascii="Arial" w:eastAsia="Arial" w:hAnsi="Arial" w:cs="Arial"/>
          <w:sz w:val="20"/>
          <w:szCs w:val="20"/>
        </w:rPr>
        <w:t>O atraso superior a 25 (vinte e cinco) dias para apresentação, suplementação ou reposição da garantia autoriza a Administração a promover a extinção do contrato por descumprimento ou cumprimento irregular de suas cláusulas, conforme dispõe o inciso I do art. 137 da Lei n. 14.133, de 2021.</w:t>
      </w:r>
    </w:p>
    <w:p w14:paraId="000000AF" w14:textId="77777777" w:rsidR="00FE4CA3" w:rsidRDefault="00000000">
      <w:pPr>
        <w:numPr>
          <w:ilvl w:val="3"/>
          <w:numId w:val="1"/>
        </w:numPr>
        <w:pBdr>
          <w:top w:val="nil"/>
          <w:left w:val="nil"/>
          <w:bottom w:val="nil"/>
          <w:right w:val="nil"/>
          <w:between w:val="nil"/>
        </w:pBdr>
        <w:spacing w:before="120" w:after="120" w:line="276" w:lineRule="auto"/>
        <w:jc w:val="both"/>
        <w:rPr>
          <w:rFonts w:ascii="Arial" w:eastAsia="Arial" w:hAnsi="Arial" w:cs="Arial"/>
          <w:sz w:val="20"/>
          <w:szCs w:val="20"/>
        </w:rPr>
      </w:pPr>
      <w:r>
        <w:rPr>
          <w:rFonts w:ascii="Arial" w:eastAsia="Arial" w:hAnsi="Arial" w:cs="Arial"/>
          <w:sz w:val="20"/>
          <w:szCs w:val="20"/>
        </w:rPr>
        <w:t>Compensatória, para as infrações descritas acima alíneas “e” a “h” de 5% (cinco por cento) a 10% (dez por cento) do valor da contratação.</w:t>
      </w:r>
    </w:p>
    <w:p w14:paraId="000000B0" w14:textId="77777777" w:rsidR="00FE4CA3" w:rsidRDefault="00000000">
      <w:pPr>
        <w:numPr>
          <w:ilvl w:val="3"/>
          <w:numId w:val="1"/>
        </w:numPr>
        <w:pBdr>
          <w:top w:val="nil"/>
          <w:left w:val="nil"/>
          <w:bottom w:val="nil"/>
          <w:right w:val="nil"/>
          <w:between w:val="nil"/>
        </w:pBdr>
        <w:spacing w:before="120" w:after="120" w:line="276" w:lineRule="auto"/>
        <w:jc w:val="both"/>
        <w:rPr>
          <w:rFonts w:ascii="Arial" w:eastAsia="Arial" w:hAnsi="Arial" w:cs="Arial"/>
          <w:sz w:val="20"/>
          <w:szCs w:val="20"/>
        </w:rPr>
      </w:pPr>
      <w:r>
        <w:rPr>
          <w:rFonts w:ascii="Arial" w:eastAsia="Arial" w:hAnsi="Arial" w:cs="Arial"/>
          <w:sz w:val="20"/>
          <w:szCs w:val="20"/>
        </w:rPr>
        <w:t>Compensatória, para a inexecução total do contrato prevista acima na alínea “c”, de 10% (dez por cento) a 20% (vinte por cento) do valor da contratação.</w:t>
      </w:r>
    </w:p>
    <w:p w14:paraId="000000B1" w14:textId="77777777" w:rsidR="00FE4CA3" w:rsidRDefault="00000000">
      <w:pPr>
        <w:numPr>
          <w:ilvl w:val="3"/>
          <w:numId w:val="1"/>
        </w:numPr>
        <w:pBdr>
          <w:top w:val="nil"/>
          <w:left w:val="nil"/>
          <w:bottom w:val="nil"/>
          <w:right w:val="nil"/>
          <w:between w:val="nil"/>
        </w:pBdr>
        <w:spacing w:before="120" w:after="120" w:line="276" w:lineRule="auto"/>
        <w:jc w:val="both"/>
        <w:rPr>
          <w:rFonts w:ascii="Arial" w:eastAsia="Arial" w:hAnsi="Arial" w:cs="Arial"/>
          <w:sz w:val="20"/>
          <w:szCs w:val="20"/>
        </w:rPr>
      </w:pPr>
      <w:r>
        <w:rPr>
          <w:rFonts w:ascii="Arial" w:eastAsia="Arial" w:hAnsi="Arial" w:cs="Arial"/>
          <w:sz w:val="20"/>
          <w:szCs w:val="20"/>
        </w:rPr>
        <w:t>Compensatória, para a infração descrita acima na alínea “b”, de 5% (cinco por cento) a 10% (dez por cento) do valor da contratação.</w:t>
      </w:r>
    </w:p>
    <w:p w14:paraId="000000B2" w14:textId="77777777" w:rsidR="00FE4CA3" w:rsidRDefault="00000000">
      <w:pPr>
        <w:numPr>
          <w:ilvl w:val="3"/>
          <w:numId w:val="1"/>
        </w:numPr>
        <w:pBdr>
          <w:top w:val="nil"/>
          <w:left w:val="nil"/>
          <w:bottom w:val="nil"/>
          <w:right w:val="nil"/>
          <w:between w:val="nil"/>
        </w:pBdr>
        <w:spacing w:before="120" w:after="120" w:line="276" w:lineRule="auto"/>
        <w:jc w:val="both"/>
        <w:rPr>
          <w:rFonts w:ascii="Arial" w:eastAsia="Arial" w:hAnsi="Arial" w:cs="Arial"/>
          <w:sz w:val="20"/>
          <w:szCs w:val="20"/>
        </w:rPr>
      </w:pPr>
      <w:bookmarkStart w:id="10" w:name="_heading=h.dsiledicargo" w:colFirst="0" w:colLast="0"/>
      <w:bookmarkEnd w:id="10"/>
      <w:r>
        <w:rPr>
          <w:rFonts w:ascii="Arial" w:eastAsia="Arial" w:hAnsi="Arial" w:cs="Arial"/>
          <w:sz w:val="20"/>
          <w:szCs w:val="20"/>
        </w:rPr>
        <w:t>Compensatória, em substituição à multa moratória para a infração descrita acima na alínea “d”, de 5% (cinco por cento) a 10% (dez por cento) do valor da contratação.</w:t>
      </w:r>
    </w:p>
    <w:p w14:paraId="000000B3" w14:textId="77777777" w:rsidR="00FE4CA3" w:rsidRDefault="00000000">
      <w:pPr>
        <w:numPr>
          <w:ilvl w:val="3"/>
          <w:numId w:val="1"/>
        </w:numPr>
        <w:pBdr>
          <w:top w:val="nil"/>
          <w:left w:val="nil"/>
          <w:bottom w:val="nil"/>
          <w:right w:val="nil"/>
          <w:between w:val="nil"/>
        </w:pBdr>
        <w:spacing w:before="120" w:after="120" w:line="276" w:lineRule="auto"/>
        <w:jc w:val="both"/>
        <w:rPr>
          <w:rFonts w:ascii="Arial" w:eastAsia="Arial" w:hAnsi="Arial" w:cs="Arial"/>
          <w:sz w:val="20"/>
          <w:szCs w:val="20"/>
        </w:rPr>
      </w:pPr>
      <w:r>
        <w:rPr>
          <w:rFonts w:ascii="Arial" w:eastAsia="Arial" w:hAnsi="Arial" w:cs="Arial"/>
          <w:sz w:val="20"/>
          <w:szCs w:val="20"/>
        </w:rPr>
        <w:t>Compensatória, para a infração descrita acima na alínea “a”, de 2% (dois por cento) a 5% (cinco por cento) do valor da contratação.</w:t>
      </w:r>
    </w:p>
    <w:p w14:paraId="000000B4"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bookmarkStart w:id="11" w:name="_heading=h.7b7b7ecv8ga3" w:colFirst="0" w:colLast="0"/>
      <w:bookmarkEnd w:id="11"/>
      <w:r>
        <w:rPr>
          <w:rFonts w:ascii="Arial" w:eastAsia="Arial" w:hAnsi="Arial" w:cs="Arial"/>
          <w:sz w:val="20"/>
          <w:szCs w:val="20"/>
        </w:rPr>
        <w:t>A aplicação das sanções previstas neste Termo de Referência não exclui, em hipótese alguma, a obrigação de reparação integral do dano causado ao Contratante.</w:t>
      </w:r>
    </w:p>
    <w:p w14:paraId="000000B5"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lastRenderedPageBreak/>
        <w:t>Todas as sanções previstas neste Termo de Referência poderão ser aplicadas cumulativamente com a multa.</w:t>
      </w:r>
    </w:p>
    <w:p w14:paraId="000000B6"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Antes da aplicação da multa será facultada a defesa do interessado no prazo de 15 (quinze) dias úteis, contado da data de sua intimação.</w:t>
      </w:r>
    </w:p>
    <w:p w14:paraId="000000B7"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Se a multa aplicada e as indenizações cabíveis forem superiores ao valor do pagamento eventualmente devido pelo Contratante ao Contratado, além da perda desse valor, a diferença será descontada da garantia prestada ou será cobrada judicialmente.</w:t>
      </w:r>
    </w:p>
    <w:p w14:paraId="000000B8"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A multa poderá ser recolhida administrativamente no prazo máximo de 30 (trinta) dias, a contar da data do recebimento da comunicação enviada pela autoridade competente.</w:t>
      </w:r>
    </w:p>
    <w:p w14:paraId="000000B9"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000000BA" w14:textId="77777777" w:rsidR="00FE4CA3" w:rsidRDefault="00000000">
      <w:pPr>
        <w:numPr>
          <w:ilvl w:val="2"/>
          <w:numId w:val="1"/>
        </w:numPr>
        <w:pBdr>
          <w:top w:val="nil"/>
          <w:left w:val="nil"/>
          <w:bottom w:val="nil"/>
          <w:right w:val="nil"/>
          <w:between w:val="nil"/>
        </w:pBdr>
        <w:spacing w:before="120" w:after="120" w:line="276" w:lineRule="auto"/>
        <w:ind w:hanging="503"/>
        <w:jc w:val="both"/>
        <w:rPr>
          <w:rFonts w:ascii="Arial" w:eastAsia="Arial" w:hAnsi="Arial" w:cs="Arial"/>
          <w:sz w:val="20"/>
          <w:szCs w:val="20"/>
        </w:rPr>
      </w:pPr>
      <w:r>
        <w:rPr>
          <w:rFonts w:ascii="Arial" w:eastAsia="Arial" w:hAnsi="Arial" w:cs="Arial"/>
          <w:sz w:val="20"/>
          <w:szCs w:val="20"/>
        </w:rPr>
        <w:t>Para a garantia da ampla defesa e contraditório, as notificações serão enviadas eletronicamente para os endereços de e-mail informados na proposta comercial, bem como os cadastrados pela empresa no SICAF.</w:t>
      </w:r>
    </w:p>
    <w:p w14:paraId="000000BB" w14:textId="77777777" w:rsidR="00FE4CA3" w:rsidRDefault="00000000">
      <w:pPr>
        <w:numPr>
          <w:ilvl w:val="2"/>
          <w:numId w:val="1"/>
        </w:numPr>
        <w:pBdr>
          <w:top w:val="nil"/>
          <w:left w:val="nil"/>
          <w:bottom w:val="nil"/>
          <w:right w:val="nil"/>
          <w:between w:val="nil"/>
        </w:pBdr>
        <w:spacing w:before="120" w:after="120" w:line="276" w:lineRule="auto"/>
        <w:ind w:hanging="503"/>
        <w:jc w:val="both"/>
        <w:rPr>
          <w:rFonts w:ascii="Arial" w:eastAsia="Arial" w:hAnsi="Arial" w:cs="Arial"/>
          <w:sz w:val="20"/>
          <w:szCs w:val="20"/>
        </w:rPr>
      </w:pPr>
      <w:r>
        <w:rPr>
          <w:rFonts w:ascii="Arial" w:eastAsia="Arial" w:hAnsi="Arial" w:cs="Arial"/>
          <w:sz w:val="20"/>
          <w:szCs w:val="20"/>
        </w:rPr>
        <w:t>Os endereços de e-mail informados na proposta comercial e/ou cadastrados no SICAF serão considerados de uso contínuo da empresa, não cabendo alegação de desconhecimento das comunicações a eles comprovadamente enviadas.</w:t>
      </w:r>
    </w:p>
    <w:p w14:paraId="000000BC"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Na aplicação das sanções serão considerados:</w:t>
      </w:r>
    </w:p>
    <w:p w14:paraId="000000BD" w14:textId="77777777" w:rsidR="00FE4CA3" w:rsidRDefault="00000000">
      <w:pPr>
        <w:numPr>
          <w:ilvl w:val="2"/>
          <w:numId w:val="1"/>
        </w:numPr>
        <w:pBdr>
          <w:top w:val="nil"/>
          <w:left w:val="nil"/>
          <w:bottom w:val="nil"/>
          <w:right w:val="nil"/>
          <w:between w:val="nil"/>
        </w:pBdr>
        <w:spacing w:before="120" w:after="120" w:line="276" w:lineRule="auto"/>
        <w:ind w:hanging="503"/>
        <w:jc w:val="both"/>
        <w:rPr>
          <w:rFonts w:ascii="Arial" w:eastAsia="Arial" w:hAnsi="Arial" w:cs="Arial"/>
          <w:sz w:val="20"/>
          <w:szCs w:val="20"/>
        </w:rPr>
      </w:pPr>
      <w:r>
        <w:rPr>
          <w:rFonts w:ascii="Arial" w:eastAsia="Arial" w:hAnsi="Arial" w:cs="Arial"/>
          <w:sz w:val="20"/>
          <w:szCs w:val="20"/>
        </w:rPr>
        <w:t>a natureza e a gravidade da infração cometida;</w:t>
      </w:r>
    </w:p>
    <w:p w14:paraId="000000BE" w14:textId="77777777" w:rsidR="00FE4CA3" w:rsidRDefault="00000000">
      <w:pPr>
        <w:numPr>
          <w:ilvl w:val="2"/>
          <w:numId w:val="1"/>
        </w:numPr>
        <w:pBdr>
          <w:top w:val="nil"/>
          <w:left w:val="nil"/>
          <w:bottom w:val="nil"/>
          <w:right w:val="nil"/>
          <w:between w:val="nil"/>
        </w:pBdr>
        <w:spacing w:before="120" w:after="120" w:line="276" w:lineRule="auto"/>
        <w:ind w:hanging="503"/>
        <w:jc w:val="both"/>
        <w:rPr>
          <w:rFonts w:ascii="Arial" w:eastAsia="Arial" w:hAnsi="Arial" w:cs="Arial"/>
          <w:sz w:val="20"/>
          <w:szCs w:val="20"/>
        </w:rPr>
      </w:pPr>
      <w:r>
        <w:rPr>
          <w:rFonts w:ascii="Arial" w:eastAsia="Arial" w:hAnsi="Arial" w:cs="Arial"/>
          <w:sz w:val="20"/>
          <w:szCs w:val="20"/>
        </w:rPr>
        <w:t>as peculiaridades do caso concreto;</w:t>
      </w:r>
    </w:p>
    <w:p w14:paraId="000000BF" w14:textId="77777777" w:rsidR="00FE4CA3" w:rsidRDefault="00000000">
      <w:pPr>
        <w:numPr>
          <w:ilvl w:val="2"/>
          <w:numId w:val="1"/>
        </w:numPr>
        <w:pBdr>
          <w:top w:val="nil"/>
          <w:left w:val="nil"/>
          <w:bottom w:val="nil"/>
          <w:right w:val="nil"/>
          <w:between w:val="nil"/>
        </w:pBdr>
        <w:spacing w:before="120" w:after="120" w:line="276" w:lineRule="auto"/>
        <w:ind w:hanging="503"/>
        <w:jc w:val="both"/>
        <w:rPr>
          <w:rFonts w:ascii="Arial" w:eastAsia="Arial" w:hAnsi="Arial" w:cs="Arial"/>
          <w:sz w:val="20"/>
          <w:szCs w:val="20"/>
        </w:rPr>
      </w:pPr>
      <w:r>
        <w:rPr>
          <w:rFonts w:ascii="Arial" w:eastAsia="Arial" w:hAnsi="Arial" w:cs="Arial"/>
          <w:sz w:val="20"/>
          <w:szCs w:val="20"/>
        </w:rPr>
        <w:t>as circunstâncias agravantes ou atenuantes;</w:t>
      </w:r>
    </w:p>
    <w:p w14:paraId="000000C0" w14:textId="77777777" w:rsidR="00FE4CA3" w:rsidRDefault="00000000">
      <w:pPr>
        <w:numPr>
          <w:ilvl w:val="2"/>
          <w:numId w:val="1"/>
        </w:numPr>
        <w:pBdr>
          <w:top w:val="nil"/>
          <w:left w:val="nil"/>
          <w:bottom w:val="nil"/>
          <w:right w:val="nil"/>
          <w:between w:val="nil"/>
        </w:pBdr>
        <w:spacing w:before="120" w:after="120" w:line="276" w:lineRule="auto"/>
        <w:ind w:hanging="503"/>
        <w:jc w:val="both"/>
        <w:rPr>
          <w:rFonts w:ascii="Arial" w:eastAsia="Arial" w:hAnsi="Arial" w:cs="Arial"/>
          <w:sz w:val="20"/>
          <w:szCs w:val="20"/>
        </w:rPr>
      </w:pPr>
      <w:r>
        <w:rPr>
          <w:rFonts w:ascii="Arial" w:eastAsia="Arial" w:hAnsi="Arial" w:cs="Arial"/>
          <w:sz w:val="20"/>
          <w:szCs w:val="20"/>
        </w:rPr>
        <w:t>os danos que dela provierem para o Contratante; e</w:t>
      </w:r>
    </w:p>
    <w:p w14:paraId="000000C1" w14:textId="77777777" w:rsidR="00FE4CA3" w:rsidRDefault="00000000">
      <w:pPr>
        <w:numPr>
          <w:ilvl w:val="2"/>
          <w:numId w:val="1"/>
        </w:numPr>
        <w:pBdr>
          <w:top w:val="nil"/>
          <w:left w:val="nil"/>
          <w:bottom w:val="nil"/>
          <w:right w:val="nil"/>
          <w:between w:val="nil"/>
        </w:pBdr>
        <w:spacing w:before="120" w:after="120" w:line="276" w:lineRule="auto"/>
        <w:ind w:hanging="503"/>
        <w:jc w:val="both"/>
        <w:rPr>
          <w:rFonts w:ascii="Arial" w:eastAsia="Arial" w:hAnsi="Arial" w:cs="Arial"/>
          <w:sz w:val="20"/>
          <w:szCs w:val="20"/>
        </w:rPr>
      </w:pPr>
      <w:r>
        <w:rPr>
          <w:rFonts w:ascii="Arial" w:eastAsia="Arial" w:hAnsi="Arial" w:cs="Arial"/>
          <w:sz w:val="20"/>
          <w:szCs w:val="20"/>
        </w:rPr>
        <w:t>a implantação ou o aperfeiçoamento de programa de integridade, conforme normas e orientações dos órgãos de controle.</w:t>
      </w:r>
    </w:p>
    <w:p w14:paraId="000000C2"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w:t>
      </w:r>
    </w:p>
    <w:p w14:paraId="000000C3"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bookmarkStart w:id="12" w:name="_heading=h.wye2jhe1wwt0" w:colFirst="0" w:colLast="0"/>
      <w:bookmarkEnd w:id="12"/>
      <w:r>
        <w:rPr>
          <w:rFonts w:ascii="Arial" w:eastAsia="Arial" w:hAnsi="Arial" w:cs="Arial"/>
          <w:sz w:val="20"/>
          <w:szCs w:val="20"/>
        </w:rPr>
        <w:t>A personalidade jurídica do Contratado poderá ser desconsiderada sempre que utilizada com abuso do direito para facilitar, encobrir ou dissimular a prática dos atos ilícitos previstos neste Termo de Referência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w:t>
      </w:r>
    </w:p>
    <w:p w14:paraId="000000C4"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 xml:space="preserve">O Contratante deverá, no prazo máximo de 15 (quinze) dias úteis, contado da data de aplicação da sanção, informar e manter atualizados os dados relativos às sanções por ela aplicadas, para fins de publicidade no Cadastro Nacional de Empresas Inidôneas e </w:t>
      </w:r>
      <w:r>
        <w:rPr>
          <w:rFonts w:ascii="Arial" w:eastAsia="Arial" w:hAnsi="Arial" w:cs="Arial"/>
          <w:sz w:val="20"/>
          <w:szCs w:val="20"/>
        </w:rPr>
        <w:lastRenderedPageBreak/>
        <w:t>Suspensas (CEIS) e no Cadastro Nacional de Empresas Punidas (CNEP), instituídos no âmbito do Poder Executivo Federal.</w:t>
      </w:r>
    </w:p>
    <w:p w14:paraId="000000C5" w14:textId="77777777" w:rsidR="00FE4CA3" w:rsidRDefault="00000000">
      <w:pPr>
        <w:numPr>
          <w:ilvl w:val="2"/>
          <w:numId w:val="1"/>
        </w:numPr>
        <w:pBdr>
          <w:top w:val="nil"/>
          <w:left w:val="nil"/>
          <w:bottom w:val="nil"/>
          <w:right w:val="nil"/>
          <w:between w:val="nil"/>
        </w:pBdr>
        <w:spacing w:before="120" w:after="120" w:line="276" w:lineRule="auto"/>
        <w:ind w:left="284" w:firstLine="0"/>
        <w:jc w:val="both"/>
        <w:rPr>
          <w:rFonts w:ascii="Arial" w:eastAsia="Arial" w:hAnsi="Arial" w:cs="Arial"/>
          <w:sz w:val="20"/>
          <w:szCs w:val="20"/>
        </w:rPr>
      </w:pPr>
      <w:r>
        <w:rPr>
          <w:rFonts w:ascii="Arial" w:eastAsia="Arial" w:hAnsi="Arial" w:cs="Arial"/>
          <w:sz w:val="20"/>
          <w:szCs w:val="20"/>
        </w:rPr>
        <w:t>As penalidades serão obrigatoriamente registradas no SICAF.</w:t>
      </w:r>
    </w:p>
    <w:p w14:paraId="000000C6"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As sanções de impedimento de licitar e contratar e declaração de inidoneidade para licitar ou contratar são passíveis de reabilitação na forma do art. 163 da Lei nº 14.133, de 2021.</w:t>
      </w:r>
    </w:p>
    <w:p w14:paraId="000000C7"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Os débitos do Contratado para com a Administração Contratante, resultantes de multa administrativa e/ou indenizações, não inscritos em dívida ativa, poderão ser compensados, total ou parcialmente, com os créditos devidos pelo referido órgão decorrentes deste mesmo contrato ou de outros contratos administrativos que o Contratado possua com o mesmo órgão ora Contratante, na forma da Instrução Normativa SEGES/ME nº 26, de 13 de abril de 2022.</w:t>
      </w:r>
    </w:p>
    <w:p w14:paraId="000000C8" w14:textId="77777777" w:rsidR="00FE4CA3" w:rsidRDefault="00000000">
      <w:pPr>
        <w:numPr>
          <w:ilvl w:val="0"/>
          <w:numId w:val="1"/>
        </w:numPr>
        <w:pBdr>
          <w:top w:val="nil"/>
          <w:left w:val="nil"/>
          <w:bottom w:val="nil"/>
          <w:right w:val="nil"/>
          <w:between w:val="nil"/>
        </w:pBdr>
        <w:spacing w:before="360" w:after="120" w:line="276" w:lineRule="auto"/>
        <w:ind w:hanging="360"/>
        <w:jc w:val="both"/>
      </w:pPr>
      <w:r>
        <w:rPr>
          <w:rFonts w:ascii="Arial" w:eastAsia="Arial" w:hAnsi="Arial" w:cs="Arial"/>
          <w:b/>
          <w:bCs/>
          <w:sz w:val="20"/>
          <w:szCs w:val="20"/>
        </w:rPr>
        <w:t>CRITÉRIOS DE MEDIÇÃO E DE PAGAMENTO</w:t>
      </w:r>
    </w:p>
    <w:p w14:paraId="000000C9"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Recebimento</w:t>
      </w:r>
    </w:p>
    <w:p w14:paraId="000000CA"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Os bens serão recebidos provisoriamente, de forma sumária, no ato da entrega, juntamente com a nota fiscal ou instrumento de cobrança equivalente, pelo(a) responsável pelo acompanhamento e fiscalização do contrato, para efeito de posterior verificação de sua conformidade com as especificações constantes no Termo de Referência e na proposta.</w:t>
      </w:r>
    </w:p>
    <w:p w14:paraId="000000CB"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Os bens poderão ser rejeitados, no todo ou em parte, inclusive antes do recebimento provisório, quando em desacordo com as especificações constantes no Termo de Referência e na proposta, devendo ser substituídos no prazo de 30 (trinta) dias, a contar da notificação da contratada, às suas custas, sem prejuízo da aplicação das penalidades.</w:t>
      </w:r>
    </w:p>
    <w:p w14:paraId="000000CC"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O recebimento definitivo ocorrerá no prazo de 5(cinco) dias úteis, a contar do recebimento da nota fiscal ou instrumento de cobrança equivalente pela Administração, após a verificação da qualidade e quantidade do material e consequente aceitação mediante termo detalhado.</w:t>
      </w:r>
    </w:p>
    <w:p w14:paraId="000000CD"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Para as contratações decorrentes de despesas cujos valores não ultrapassem o limite de que trata o inciso II do art. 75 da Lei nº 14.133, de 2021, o prazo máximo para o recebimento definitivo será de até 5 (cinco) dias úteis.</w:t>
      </w:r>
    </w:p>
    <w:p w14:paraId="000000CE"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O prazo para recebimento definitivo poderá ser excepcionalmente prorrogado, de forma justificada, por igual período, quando houver necessidade de diligências para a aferição do atendimento das exigências contratuais.</w:t>
      </w:r>
    </w:p>
    <w:p w14:paraId="000000CF"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No caso de controvérsia sobre a execução do objeto, quanto à dimensão, qualidade e quantidade, deverá ser observado o teor do art. 143 da Lei nº 14.133, de 2021, comunicando-se à empresa para emissão de Nota Fiscal quanto à parcela incontroversa da execução do objeto, para efeito de liquidação e pagamento.</w:t>
      </w:r>
    </w:p>
    <w:p w14:paraId="000000D0"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000000D1"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O recebimento provisório ou definitivo não excluirá a responsabilidade civil pela solidez e pela segurança dos bens nem a responsabilidade ético-profissional pela perfeita execução do contrato.</w:t>
      </w:r>
    </w:p>
    <w:p w14:paraId="000000D2"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lastRenderedPageBreak/>
        <w:t>As atividades de montagem, instalação e quaisquer outras necessárias para o funcionamento ou uso do bem correrão por conta do Contratado e são condição para o recebimento do objeto.</w:t>
      </w:r>
    </w:p>
    <w:p w14:paraId="000000D3"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Liquidação</w:t>
      </w:r>
    </w:p>
    <w:p w14:paraId="000000D4"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Recebida a Nota Fiscal ou documento de cobrança equivalente, correrá o prazo de dez dias úteis para fins de liquidação, na forma desta seção, prorrogáveis por igual período, nos termos do art. 7º, §3º da Instrução Normativa SEGES/ME nº 77/2022.</w:t>
      </w:r>
    </w:p>
    <w:p w14:paraId="000000D5"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O prazo de que trata o item anterior será reduzido à metade, mantendo-se a possibilidade de prorrogação, no caso de contratações decorrentes de despesas cujos valores não ultrapassem o limite de que trata o inciso II do art. 75 da Lei nº 14.133, de 2021.</w:t>
      </w:r>
    </w:p>
    <w:p w14:paraId="000000D6"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 xml:space="preserve">Para fins de liquidação, o setor competente deverá verificar se a nota fiscal ou instrumento de cobrança equivalente apresentado expressa os elementos necessários e essenciais do documento, tais como: </w:t>
      </w:r>
    </w:p>
    <w:p w14:paraId="000000D7" w14:textId="77777777" w:rsidR="00FE4CA3" w:rsidRDefault="00000000">
      <w:pPr>
        <w:numPr>
          <w:ilvl w:val="2"/>
          <w:numId w:val="1"/>
        </w:numPr>
        <w:pBdr>
          <w:top w:val="nil"/>
          <w:left w:val="nil"/>
          <w:bottom w:val="nil"/>
          <w:right w:val="nil"/>
          <w:between w:val="nil"/>
        </w:pBdr>
        <w:spacing w:before="120" w:after="120" w:line="276" w:lineRule="auto"/>
        <w:ind w:hanging="503"/>
        <w:jc w:val="both"/>
      </w:pPr>
      <w:r>
        <w:rPr>
          <w:rFonts w:ascii="Arial" w:eastAsia="Arial" w:hAnsi="Arial" w:cs="Arial"/>
          <w:sz w:val="20"/>
          <w:szCs w:val="20"/>
        </w:rPr>
        <w:t>o prazo de validade;</w:t>
      </w:r>
    </w:p>
    <w:p w14:paraId="000000D8" w14:textId="77777777" w:rsidR="00FE4CA3" w:rsidRDefault="00000000">
      <w:pPr>
        <w:numPr>
          <w:ilvl w:val="2"/>
          <w:numId w:val="1"/>
        </w:numPr>
        <w:pBdr>
          <w:top w:val="nil"/>
          <w:left w:val="nil"/>
          <w:bottom w:val="nil"/>
          <w:right w:val="nil"/>
          <w:between w:val="nil"/>
        </w:pBdr>
        <w:spacing w:before="120" w:after="120" w:line="276" w:lineRule="auto"/>
        <w:ind w:hanging="503"/>
        <w:jc w:val="both"/>
      </w:pPr>
      <w:r>
        <w:rPr>
          <w:rFonts w:ascii="Arial" w:eastAsia="Arial" w:hAnsi="Arial" w:cs="Arial"/>
          <w:sz w:val="20"/>
          <w:szCs w:val="20"/>
        </w:rPr>
        <w:t xml:space="preserve">a data da emissão; </w:t>
      </w:r>
    </w:p>
    <w:p w14:paraId="000000D9" w14:textId="77777777" w:rsidR="00FE4CA3" w:rsidRDefault="00000000">
      <w:pPr>
        <w:numPr>
          <w:ilvl w:val="2"/>
          <w:numId w:val="1"/>
        </w:numPr>
        <w:pBdr>
          <w:top w:val="nil"/>
          <w:left w:val="nil"/>
          <w:bottom w:val="nil"/>
          <w:right w:val="nil"/>
          <w:between w:val="nil"/>
        </w:pBdr>
        <w:spacing w:before="120" w:after="120" w:line="276" w:lineRule="auto"/>
        <w:ind w:hanging="503"/>
        <w:jc w:val="both"/>
      </w:pPr>
      <w:r>
        <w:rPr>
          <w:rFonts w:ascii="Arial" w:eastAsia="Arial" w:hAnsi="Arial" w:cs="Arial"/>
          <w:sz w:val="20"/>
          <w:szCs w:val="20"/>
        </w:rPr>
        <w:t xml:space="preserve">os dados do contrato e do órgão contratante; </w:t>
      </w:r>
    </w:p>
    <w:p w14:paraId="000000DA" w14:textId="77777777" w:rsidR="00FE4CA3" w:rsidRDefault="00000000">
      <w:pPr>
        <w:numPr>
          <w:ilvl w:val="2"/>
          <w:numId w:val="1"/>
        </w:numPr>
        <w:pBdr>
          <w:top w:val="nil"/>
          <w:left w:val="nil"/>
          <w:bottom w:val="nil"/>
          <w:right w:val="nil"/>
          <w:between w:val="nil"/>
        </w:pBdr>
        <w:spacing w:before="120" w:after="120" w:line="276" w:lineRule="auto"/>
        <w:ind w:hanging="503"/>
        <w:jc w:val="both"/>
      </w:pPr>
      <w:r>
        <w:rPr>
          <w:rFonts w:ascii="Arial" w:eastAsia="Arial" w:hAnsi="Arial" w:cs="Arial"/>
          <w:sz w:val="20"/>
          <w:szCs w:val="20"/>
        </w:rPr>
        <w:t xml:space="preserve">o período respectivo de execução do contrato; </w:t>
      </w:r>
    </w:p>
    <w:p w14:paraId="000000DB" w14:textId="77777777" w:rsidR="00FE4CA3" w:rsidRDefault="00000000">
      <w:pPr>
        <w:numPr>
          <w:ilvl w:val="2"/>
          <w:numId w:val="1"/>
        </w:numPr>
        <w:pBdr>
          <w:top w:val="nil"/>
          <w:left w:val="nil"/>
          <w:bottom w:val="nil"/>
          <w:right w:val="nil"/>
          <w:between w:val="nil"/>
        </w:pBdr>
        <w:spacing w:before="120" w:after="120" w:line="276" w:lineRule="auto"/>
        <w:ind w:hanging="503"/>
        <w:jc w:val="both"/>
      </w:pPr>
      <w:r>
        <w:rPr>
          <w:rFonts w:ascii="Arial" w:eastAsia="Arial" w:hAnsi="Arial" w:cs="Arial"/>
          <w:sz w:val="20"/>
          <w:szCs w:val="20"/>
        </w:rPr>
        <w:t xml:space="preserve">o valor a pagar; e </w:t>
      </w:r>
    </w:p>
    <w:p w14:paraId="000000DC" w14:textId="77777777" w:rsidR="00FE4CA3" w:rsidRDefault="00000000">
      <w:pPr>
        <w:numPr>
          <w:ilvl w:val="2"/>
          <w:numId w:val="1"/>
        </w:numPr>
        <w:pBdr>
          <w:top w:val="nil"/>
          <w:left w:val="nil"/>
          <w:bottom w:val="nil"/>
          <w:right w:val="nil"/>
          <w:between w:val="nil"/>
        </w:pBdr>
        <w:spacing w:before="120" w:after="120" w:line="276" w:lineRule="auto"/>
        <w:ind w:hanging="503"/>
        <w:jc w:val="both"/>
      </w:pPr>
      <w:r>
        <w:rPr>
          <w:rFonts w:ascii="Arial" w:eastAsia="Arial" w:hAnsi="Arial" w:cs="Arial"/>
          <w:sz w:val="20"/>
          <w:szCs w:val="20"/>
        </w:rPr>
        <w:t>eventual destaque do valor de retenções tributárias cabíveis.</w:t>
      </w:r>
    </w:p>
    <w:p w14:paraId="000000DD"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 xml:space="preserve">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000000DE"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 xml:space="preserve"> A nota fiscal ou instrumento de cobrança equivalente deverá ser obrigatoriamente acompanhado da comprovação da regularidade fiscal, constatada por meio de consulta on-line ao SICAF ou, na impossibilidade de acesso ao referido Sistema, mediante consulta aos sítios eletrônicos oficiais ou à documentação mencionada no art. 68 da Lei nº 14.133, de 2021.</w:t>
      </w:r>
    </w:p>
    <w:p w14:paraId="000000DF"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A Administração deverá realizar consulta ao SICAF para:</w:t>
      </w:r>
    </w:p>
    <w:p w14:paraId="000000E0" w14:textId="77777777" w:rsidR="00FE4CA3" w:rsidRDefault="00000000">
      <w:pPr>
        <w:numPr>
          <w:ilvl w:val="2"/>
          <w:numId w:val="1"/>
        </w:numPr>
        <w:pBdr>
          <w:top w:val="nil"/>
          <w:left w:val="nil"/>
          <w:bottom w:val="nil"/>
          <w:right w:val="nil"/>
          <w:between w:val="nil"/>
        </w:pBdr>
        <w:spacing w:before="120" w:after="120" w:line="276" w:lineRule="auto"/>
        <w:ind w:hanging="503"/>
        <w:jc w:val="both"/>
      </w:pPr>
      <w:r>
        <w:rPr>
          <w:rFonts w:ascii="Arial" w:eastAsia="Arial" w:hAnsi="Arial" w:cs="Arial"/>
          <w:sz w:val="20"/>
          <w:szCs w:val="20"/>
        </w:rPr>
        <w:t>verificar a manutenção das condições de habilitação exigidas;</w:t>
      </w:r>
    </w:p>
    <w:p w14:paraId="000000E1" w14:textId="77777777" w:rsidR="00FE4CA3" w:rsidRDefault="00000000">
      <w:pPr>
        <w:numPr>
          <w:ilvl w:val="2"/>
          <w:numId w:val="1"/>
        </w:numPr>
        <w:pBdr>
          <w:top w:val="nil"/>
          <w:left w:val="nil"/>
          <w:bottom w:val="nil"/>
          <w:right w:val="nil"/>
          <w:between w:val="nil"/>
        </w:pBdr>
        <w:spacing w:before="120" w:after="120" w:line="276" w:lineRule="auto"/>
        <w:ind w:hanging="503"/>
        <w:jc w:val="both"/>
      </w:pPr>
      <w:r>
        <w:rPr>
          <w:rFonts w:ascii="Arial" w:eastAsia="Arial" w:hAnsi="Arial" w:cs="Arial"/>
          <w:sz w:val="20"/>
          <w:szCs w:val="20"/>
        </w:rPr>
        <w:t>identificar possível razão que impeça a participação em licitação/contratação no âmbito do órgão ou entidade, tais como a proibição de contratar com a Administração ou com o Poder Público, bem como ocorrências impeditivas indiretas.</w:t>
      </w:r>
    </w:p>
    <w:p w14:paraId="000000E2"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Constatando-se, junto ao SICAF,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000000E3"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w:t>
      </w:r>
    </w:p>
    <w:p w14:paraId="000000E4"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lastRenderedPageBreak/>
        <w:t xml:space="preserve">Persistindo a irregularidade, o Contratante deverá adotar as medidas necessárias à rescisão contratual nos autos do processo administrativo correspondente, assegurada ao Contratado a ampla defesa. </w:t>
      </w:r>
    </w:p>
    <w:p w14:paraId="000000E5"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Havendo a efetiva execução do objeto, os pagamentos serão realizados normalmente, até que se decida pela rescisão do contrato, caso o Contratado não regularize sua situação junto ao SICAF.</w:t>
      </w:r>
    </w:p>
    <w:p w14:paraId="000000E6"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Prazo de pagamento</w:t>
      </w:r>
    </w:p>
    <w:p w14:paraId="000000E7"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O pagamento será efetuado no prazo de até 10 (dez) dias úteis contados da finalização da liquidação da despesa, conforme seção anterior, nos termos da Instrução Normativa SEGES/ME nº 77, de 2022.</w:t>
      </w:r>
    </w:p>
    <w:p w14:paraId="000000E8"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No caso de atraso pelo Contratante, os valores devidos ao Contratado serão atualizados monetariamente entre o termo final do prazo de pagamento até a data de sua efetiva realização, mediante aplicação do</w:t>
      </w:r>
      <w:r>
        <w:rPr>
          <w:rFonts w:ascii="Arial" w:eastAsia="Arial" w:hAnsi="Arial" w:cs="Arial"/>
          <w:b/>
          <w:bCs/>
          <w:sz w:val="20"/>
          <w:szCs w:val="20"/>
        </w:rPr>
        <w:t xml:space="preserve"> índice IPCA</w:t>
      </w:r>
      <w:r>
        <w:rPr>
          <w:rFonts w:ascii="Arial" w:eastAsia="Arial" w:hAnsi="Arial" w:cs="Arial"/>
          <w:sz w:val="20"/>
          <w:szCs w:val="20"/>
        </w:rPr>
        <w:t xml:space="preserve"> de correção monetária.</w:t>
      </w:r>
    </w:p>
    <w:p w14:paraId="000000E9"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Forma de pagamento</w:t>
      </w:r>
    </w:p>
    <w:p w14:paraId="000000EA"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O pagamento será realizado por meio de ordem bancária, para crédito em banco, agência e conta corrente indicados pelo Contratado.</w:t>
      </w:r>
    </w:p>
    <w:p w14:paraId="000000EB"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Será considerada data do pagamento o dia em que constar como emitida a ordem bancária para pagamento.</w:t>
      </w:r>
    </w:p>
    <w:p w14:paraId="000000EC"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Quando do pagamento, será efetuada a retenção tributária prevista na legislação aplicável.</w:t>
      </w:r>
    </w:p>
    <w:p w14:paraId="000000ED"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Independentemente do percentual de tributo inserido na planilha, quando houver, serão retidos na fonte, quando da realização do pagamento, os percentuais estabelecidos na legislação vigente.</w:t>
      </w:r>
    </w:p>
    <w:p w14:paraId="000000EE"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000000EF"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Cessão de Crédito</w:t>
      </w:r>
    </w:p>
    <w:p w14:paraId="000000F0"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As cessões de crédito dependerão de prévia aprovação do Contratante.</w:t>
      </w:r>
    </w:p>
    <w:p w14:paraId="000000F1" w14:textId="77777777" w:rsidR="00FE4CA3" w:rsidRDefault="00000000">
      <w:pPr>
        <w:numPr>
          <w:ilvl w:val="2"/>
          <w:numId w:val="1"/>
        </w:numPr>
        <w:pBdr>
          <w:top w:val="nil"/>
          <w:left w:val="nil"/>
          <w:bottom w:val="nil"/>
          <w:right w:val="nil"/>
          <w:between w:val="nil"/>
        </w:pBdr>
        <w:spacing w:before="120" w:after="120" w:line="276" w:lineRule="auto"/>
        <w:ind w:hanging="503"/>
        <w:jc w:val="both"/>
        <w:rPr>
          <w:rFonts w:ascii="Arial" w:eastAsia="Arial" w:hAnsi="Arial" w:cs="Arial"/>
          <w:sz w:val="20"/>
          <w:szCs w:val="20"/>
        </w:rPr>
      </w:pPr>
      <w:r>
        <w:rPr>
          <w:rFonts w:ascii="Arial" w:eastAsia="Arial" w:hAnsi="Arial" w:cs="Arial"/>
          <w:sz w:val="20"/>
          <w:szCs w:val="20"/>
        </w:rPr>
        <w:t>A eficácia da cessão de crédito, em relação à Administração, está condicionada à celebração de termo aditivo ao contrato administrativo.</w:t>
      </w:r>
    </w:p>
    <w:p w14:paraId="000000F2" w14:textId="77777777" w:rsidR="00FE4CA3" w:rsidRDefault="00000000">
      <w:pPr>
        <w:numPr>
          <w:ilvl w:val="2"/>
          <w:numId w:val="1"/>
        </w:numPr>
        <w:pBdr>
          <w:top w:val="nil"/>
          <w:left w:val="nil"/>
          <w:bottom w:val="nil"/>
          <w:right w:val="nil"/>
          <w:between w:val="nil"/>
        </w:pBdr>
        <w:spacing w:before="120" w:after="120" w:line="276" w:lineRule="auto"/>
        <w:ind w:hanging="503"/>
        <w:jc w:val="both"/>
        <w:rPr>
          <w:rFonts w:ascii="Arial" w:eastAsia="Arial" w:hAnsi="Arial" w:cs="Arial"/>
          <w:sz w:val="20"/>
          <w:szCs w:val="20"/>
        </w:rPr>
      </w:pPr>
      <w:r>
        <w:rPr>
          <w:rFonts w:ascii="Arial" w:eastAsia="Arial" w:hAnsi="Arial" w:cs="Arial"/>
          <w:sz w:val="20"/>
          <w:szCs w:val="20"/>
        </w:rPr>
        <w:t>Sem prejuízo do regular atendimento da obrigação contratual de cumprimento de todas as condições de habilitação por parte do Contratado (cedente), a celebração do aditamento de cessão de crédito e a realização dos pagamentos respectivos também se condicionam à regularidade fiscal e trabalhista do cessionário, bem como à certificação de que o cessionário não se encontra impedido de licitar e contratar com o Poder Público, conforme a legislação em vigor, ou de receber benefícios ou incentivos fiscais ou creditícios, direta ou indiretamente, conforme o art. 12 da Lei nº 8.429, de 1992, nos termos do Parecer JL-01, de 18 de maio de 2020.</w:t>
      </w:r>
    </w:p>
    <w:p w14:paraId="000000F3" w14:textId="77777777" w:rsidR="00FE4CA3" w:rsidRDefault="00000000">
      <w:pPr>
        <w:numPr>
          <w:ilvl w:val="2"/>
          <w:numId w:val="1"/>
        </w:numPr>
        <w:pBdr>
          <w:top w:val="nil"/>
          <w:left w:val="nil"/>
          <w:bottom w:val="nil"/>
          <w:right w:val="nil"/>
          <w:between w:val="nil"/>
        </w:pBdr>
        <w:spacing w:before="120" w:after="120" w:line="276" w:lineRule="auto"/>
        <w:ind w:hanging="503"/>
        <w:jc w:val="both"/>
        <w:rPr>
          <w:rFonts w:ascii="Arial" w:eastAsia="Arial" w:hAnsi="Arial" w:cs="Arial"/>
          <w:sz w:val="20"/>
          <w:szCs w:val="20"/>
        </w:rPr>
      </w:pPr>
      <w:r>
        <w:rPr>
          <w:rFonts w:ascii="Arial" w:eastAsia="Arial" w:hAnsi="Arial" w:cs="Arial"/>
          <w:sz w:val="20"/>
          <w:szCs w:val="20"/>
        </w:rPr>
        <w:lastRenderedPageBreak/>
        <w:t>O crédito a ser pago à cessionária é exatamente aquele que seria destinado à cedente (Contratado) pela execução do objeto contratual, restando absolutamente incólumes todas as defesas e exceções ao pagamento e todas as demais cláusulas exorbitantes ao direito comum aplicáveis no regime jurídico de direito público incidente sobre os contratos administrativos, incluindo a possibilidade de pagamento em conta vinculada ou de pagamento pela efetiva comprovação do fato gerador, quando for o caso, e o desconto de multas, glosas e prejuízos causados à Administração.</w:t>
      </w:r>
    </w:p>
    <w:p w14:paraId="000000F4" w14:textId="77777777" w:rsidR="00FE4CA3" w:rsidRDefault="00000000">
      <w:pPr>
        <w:numPr>
          <w:ilvl w:val="2"/>
          <w:numId w:val="1"/>
        </w:numPr>
        <w:pBdr>
          <w:top w:val="nil"/>
          <w:left w:val="nil"/>
          <w:bottom w:val="nil"/>
          <w:right w:val="nil"/>
          <w:between w:val="nil"/>
        </w:pBdr>
        <w:spacing w:before="120" w:after="120" w:line="276" w:lineRule="auto"/>
        <w:ind w:hanging="503"/>
        <w:jc w:val="both"/>
        <w:rPr>
          <w:rFonts w:ascii="Arial" w:eastAsia="Arial" w:hAnsi="Arial" w:cs="Arial"/>
          <w:sz w:val="20"/>
          <w:szCs w:val="20"/>
        </w:rPr>
      </w:pPr>
      <w:r>
        <w:rPr>
          <w:rFonts w:ascii="Arial" w:eastAsia="Arial" w:hAnsi="Arial" w:cs="Arial"/>
          <w:sz w:val="20"/>
          <w:szCs w:val="20"/>
        </w:rPr>
        <w:t>A cessão de crédito não afetará a execução do objeto contratado, que continuará sob a integral responsabilidade do Contratado.</w:t>
      </w:r>
    </w:p>
    <w:p w14:paraId="000000F5"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O disposto nesta seção não afeta as operações de crédito de que trata a Instrução Normativa SEGES/MGI nº 82, de 21 de fevereiro de 2025, as quais ficam por esta regidas.</w:t>
      </w:r>
    </w:p>
    <w:p w14:paraId="000000F6"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Reajuste</w:t>
      </w:r>
    </w:p>
    <w:p w14:paraId="000000F7" w14:textId="77777777" w:rsidR="00FE4CA3" w:rsidRDefault="00000000">
      <w:pPr>
        <w:numPr>
          <w:ilvl w:val="1"/>
          <w:numId w:val="1"/>
        </w:numPr>
        <w:pBdr>
          <w:top w:val="nil"/>
          <w:left w:val="nil"/>
          <w:bottom w:val="nil"/>
          <w:right w:val="nil"/>
          <w:between w:val="nil"/>
        </w:pBdr>
        <w:spacing w:before="120" w:after="120" w:line="276" w:lineRule="auto"/>
        <w:jc w:val="both"/>
      </w:pPr>
      <w:bookmarkStart w:id="13" w:name="_heading=h.ynp980dl5fk0" w:colFirst="0" w:colLast="0"/>
      <w:bookmarkEnd w:id="13"/>
      <w:r>
        <w:rPr>
          <w:rFonts w:ascii="Arial" w:eastAsia="Arial" w:hAnsi="Arial" w:cs="Arial"/>
          <w:sz w:val="20"/>
          <w:szCs w:val="20"/>
        </w:rPr>
        <w:t>Os preços inicialmente contratados são fixos e irreajustáveis no prazo de um ano contado da data do orçamento estimado, em 27/04/2026.</w:t>
      </w:r>
    </w:p>
    <w:p w14:paraId="000000F8"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Após o interregno de um ano, e independentemente de pedido do Contratado, os preços iniciais serão reajustados, mediante a aplicação, pelo Contratante, do índice IPCA, exclusivamente para as obrigações iniciadas e concluídas após a ocorrência da anualidade.</w:t>
      </w:r>
    </w:p>
    <w:p w14:paraId="000000F9"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Nos reajustes subsequentes ao primeiro, o interregno mínimo de um ano será contado a partir dos efeitos financeiros do último reajuste.</w:t>
      </w:r>
    </w:p>
    <w:p w14:paraId="000000FA"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No caso de atraso ou não divulgação do(s) índice (s) de reajustamento, o Contratante pagará ao Contratado a importância calculada pela última variação conhecida, liquidando a diferença correspondente tão logo seja(m) divulgado(s) o(s) índice(s) definitivo(s).</w:t>
      </w:r>
    </w:p>
    <w:p w14:paraId="000000FB"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Nas aferições finais, o(s) índice(s) utilizado(s) para reajuste será(ão), obrigatoriamente, o(s) definitivo(s).</w:t>
      </w:r>
    </w:p>
    <w:p w14:paraId="000000FC"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Caso o(s) índice(s) estabelecido(s) para reajustamento venha(m) a ser extinto(s) ou de qualquer forma não possa(m) mais ser utilizado(s), será(ão) adotado(s), em substituição, o(s) que vier(em) a ser determinado(s) pela legislação então em vigor.</w:t>
      </w:r>
    </w:p>
    <w:p w14:paraId="000000FD"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Na ausência de previsão legal quanto ao índice substituto, as partes elegerão novo índice oficial, para reajustamento do preço do valor remanescente, por meio de termo aditivo.</w:t>
      </w:r>
    </w:p>
    <w:p w14:paraId="000000FE"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O reajuste será realizado por apostilamento.</w:t>
      </w:r>
    </w:p>
    <w:p w14:paraId="000000FF" w14:textId="77777777" w:rsidR="00FE4CA3" w:rsidRDefault="00000000">
      <w:pPr>
        <w:numPr>
          <w:ilvl w:val="0"/>
          <w:numId w:val="1"/>
        </w:numPr>
        <w:pBdr>
          <w:top w:val="nil"/>
          <w:left w:val="nil"/>
          <w:bottom w:val="nil"/>
          <w:right w:val="nil"/>
          <w:between w:val="nil"/>
        </w:pBdr>
        <w:spacing w:before="360" w:after="120" w:line="276" w:lineRule="auto"/>
        <w:ind w:hanging="360"/>
        <w:jc w:val="both"/>
      </w:pPr>
      <w:r>
        <w:rPr>
          <w:rFonts w:ascii="Arial" w:eastAsia="Arial" w:hAnsi="Arial" w:cs="Arial"/>
          <w:b/>
          <w:bCs/>
          <w:sz w:val="20"/>
          <w:szCs w:val="20"/>
        </w:rPr>
        <w:t>FORMA E CRITÉRIOS DE SELEÇÃO DO FORNECEDOR E FORMA DE FORNECIMENTO</w:t>
      </w:r>
    </w:p>
    <w:p w14:paraId="00000100"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bookmarkStart w:id="14" w:name="_heading=h.kau9nz6efuvn" w:colFirst="0" w:colLast="0"/>
      <w:bookmarkEnd w:id="14"/>
      <w:r>
        <w:rPr>
          <w:rFonts w:ascii="Arial" w:eastAsia="Arial" w:hAnsi="Arial" w:cs="Arial"/>
          <w:b/>
          <w:bCs/>
          <w:sz w:val="20"/>
          <w:szCs w:val="20"/>
        </w:rPr>
        <w:t>Forma de seleção e critério de julgamento da proposta</w:t>
      </w:r>
    </w:p>
    <w:p w14:paraId="00000101"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O fornecedor será selecionado por meio de contratação direta, com fundamento no art. 75, incisos II, da Lei nº 14.133/2021, tendo em vista que o valor estimado da contratação é de R$46.877,53 (quarenta e seis mil, oitocentos e setenta e sete reais e cinquenta e três centavos), enquadrando-se no limite legal.</w:t>
      </w:r>
    </w:p>
    <w:p w14:paraId="00000102"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Forma de fornecimento</w:t>
      </w:r>
    </w:p>
    <w:p w14:paraId="00000103"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O fornecimento do objeto será integral</w:t>
      </w:r>
    </w:p>
    <w:p w14:paraId="00000104"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Exigências de habilitação</w:t>
      </w:r>
    </w:p>
    <w:p w14:paraId="00000105"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lastRenderedPageBreak/>
        <w:t>Para fins de habilitação, deverá o interessado comprovar os seguintes requisitos:</w:t>
      </w:r>
    </w:p>
    <w:p w14:paraId="00000106"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Habilitação jurídica</w:t>
      </w:r>
    </w:p>
    <w:p w14:paraId="00000107" w14:textId="77777777" w:rsidR="00FE4CA3" w:rsidRDefault="00000000">
      <w:pPr>
        <w:numPr>
          <w:ilvl w:val="1"/>
          <w:numId w:val="1"/>
        </w:numPr>
        <w:pBdr>
          <w:top w:val="nil"/>
          <w:left w:val="nil"/>
          <w:bottom w:val="nil"/>
          <w:right w:val="nil"/>
          <w:between w:val="nil"/>
        </w:pBdr>
        <w:spacing w:before="120" w:after="120" w:line="276" w:lineRule="auto"/>
        <w:jc w:val="both"/>
      </w:pPr>
      <w:bookmarkStart w:id="15" w:name="_heading=h.nm0z0j1rb03c" w:colFirst="0" w:colLast="0"/>
      <w:bookmarkEnd w:id="15"/>
      <w:r>
        <w:rPr>
          <w:rFonts w:ascii="Arial" w:eastAsia="Arial" w:hAnsi="Arial" w:cs="Arial"/>
          <w:sz w:val="20"/>
          <w:szCs w:val="20"/>
        </w:rPr>
        <w:t>pessoa física: cédula de identidade (RG) ou documento equivalente que, por força de lei, tenha validade para fins de identificação em todo o território nacional;</w:t>
      </w:r>
    </w:p>
    <w:p w14:paraId="00000108"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empresário individual: inscrição no Registro Público de Empresas Mercantis, a cargo da Junta Comercial da respectiva sede;</w:t>
      </w:r>
    </w:p>
    <w:p w14:paraId="00000109"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Microempreendedor Individual - MEI: Certificado da Condição de Microempreendedor Individual - CCMEI, cuja aceitação ficará condicionada à verificação da autenticidade no sítio https://www.gov.br/empresas-e-negocios/pt-br/empreendedor;</w:t>
      </w:r>
    </w:p>
    <w:p w14:paraId="0000010A"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sociedade empresária, sociedade limitada unipessoal – SLU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14:paraId="0000010B"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sociedade empresária estrangeira: portaria de autorização de funcionamento no Brasil, publicada no Diário Oficial da União e arquivada na Junta Comercial da unidade federativa onde se localizar a filial, agência, sucursal ou estabelecimento, a qual será considerada como sua sede, conforme Instrução Normativa DREI/ME n.º 77, de 18 de março de 2020;</w:t>
      </w:r>
    </w:p>
    <w:p w14:paraId="0000010C"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sociedade simples: inscrição do ato constitutivo no Registro Civil de Pessoas Jurídicas do local de sua sede, acompanhada de documento comprobatório de seus administradores;</w:t>
      </w:r>
    </w:p>
    <w:p w14:paraId="0000010D" w14:textId="77777777" w:rsidR="00FE4CA3" w:rsidRDefault="00000000">
      <w:pPr>
        <w:numPr>
          <w:ilvl w:val="1"/>
          <w:numId w:val="1"/>
        </w:numPr>
        <w:pBdr>
          <w:top w:val="nil"/>
          <w:left w:val="nil"/>
          <w:bottom w:val="nil"/>
          <w:right w:val="nil"/>
          <w:between w:val="nil"/>
        </w:pBdr>
        <w:spacing w:before="120" w:after="120" w:line="276" w:lineRule="auto"/>
        <w:jc w:val="both"/>
      </w:pPr>
      <w:bookmarkStart w:id="16" w:name="_heading=h.ealtpsmlllhg" w:colFirst="0" w:colLast="0"/>
      <w:bookmarkEnd w:id="16"/>
      <w:r>
        <w:rPr>
          <w:rFonts w:ascii="Arial" w:eastAsia="Arial" w:hAnsi="Arial" w:cs="Arial"/>
          <w:sz w:val="20"/>
          <w:szCs w:val="20"/>
        </w:rPr>
        <w:t>filial, sucursal ou agência de sociedade simples ou empresária: inscrição do ato constitutivo da filial, sucursal ou agência da sociedade simples ou empresária, respectivamente, no Registro Civil das Pessoas Jurídicas ou no Registro Público de Empresas Mercantis onde opera, com averbação no Registro onde tem sede a matriz;</w:t>
      </w:r>
    </w:p>
    <w:p w14:paraId="0000010E"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sociedade cooperativa: ata de fundação e estatuto social, com a ata da assembleia que o aprovou, devidamente arquivado na Junta Comercial ou inscrito no Registro Civil das Pessoas Jurídicas da respectiva sede, além do registro de que trata o art. 107 da Lei nº 5.764, de 16 de dezembro 1971.</w:t>
      </w:r>
    </w:p>
    <w:p w14:paraId="0000010F"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Os documentos apresentados deverão estar acompanhados de todas as alterações ou da consolidação respectiva.</w:t>
      </w:r>
    </w:p>
    <w:p w14:paraId="00000110"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Habilitação fiscal, social e trabalhista</w:t>
      </w:r>
    </w:p>
    <w:p w14:paraId="00000111"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Prova de inscrição no Cadastro Nacional de Pessoas Jurídicas ou no Cadastro de Pessoas Físicas, conforme o caso;</w:t>
      </w:r>
    </w:p>
    <w:p w14:paraId="00000112"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00000113"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Prova de regularidade com o Fundo de Garantia do Tempo de Serviço (FGTS);</w:t>
      </w:r>
    </w:p>
    <w:p w14:paraId="00000114"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 xml:space="preserve">Prova de inexistência de débitos inadimplidos perante a Justiça do Trabalho, mediante a apresentação de certidão negativa ou positiva com efeito de negativa, nos termos do Título </w:t>
      </w:r>
      <w:r>
        <w:rPr>
          <w:rFonts w:ascii="Arial" w:eastAsia="Arial" w:hAnsi="Arial" w:cs="Arial"/>
          <w:sz w:val="20"/>
          <w:szCs w:val="20"/>
        </w:rPr>
        <w:lastRenderedPageBreak/>
        <w:t>VII-A da Consolidação das Leis do Trabalho, aprovada pelo Decreto-Lei nº 5.452, de 1º de maio de 1943;</w:t>
      </w:r>
    </w:p>
    <w:p w14:paraId="00000115"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Prova de inscrição no cadastro de contribuintes Estadual ou Distrital relativo ao domicílio ou sede do fornecedor, pertinente ao seu ramo de atividade e compatível com o objeto contratual;</w:t>
      </w:r>
    </w:p>
    <w:p w14:paraId="00000116"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Prova de regularidade com a Fazenda Estadual ou Distrital do domicílio ou sede do fornecedor, relativa à atividade em cujo exercício contrata ou concorre;</w:t>
      </w:r>
    </w:p>
    <w:p w14:paraId="00000117"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Caso o fornecedor seja considerado isento dos tributos relacionados ao objeto contratual, deverá comprovar tal condição mediante a apresentação de declaração da Fazenda respectiva do seu domicílio ou sede, ou outra equivalente, na forma da lei.</w:t>
      </w:r>
    </w:p>
    <w:p w14:paraId="00000118" w14:textId="77777777" w:rsidR="00FE4CA3" w:rsidRDefault="00000000">
      <w:pPr>
        <w:numPr>
          <w:ilvl w:val="1"/>
          <w:numId w:val="1"/>
        </w:numPr>
        <w:pBdr>
          <w:top w:val="nil"/>
          <w:left w:val="nil"/>
          <w:bottom w:val="nil"/>
          <w:right w:val="nil"/>
          <w:between w:val="nil"/>
        </w:pBdr>
        <w:spacing w:before="120" w:after="120" w:line="276" w:lineRule="auto"/>
        <w:jc w:val="both"/>
      </w:pPr>
      <w:bookmarkStart w:id="17" w:name="_heading=h.v9mxsy2ip7m9" w:colFirst="0" w:colLast="0"/>
      <w:bookmarkEnd w:id="17"/>
      <w:r>
        <w:rPr>
          <w:rFonts w:ascii="Arial" w:eastAsia="Arial" w:hAnsi="Arial" w:cs="Arial"/>
          <w:sz w:val="20"/>
          <w:szCs w:val="20"/>
        </w:rPr>
        <w:t>O fornecedor enquadrado como microempreendedor individual que pretenda auferir os benefícios do tratamento diferenciado previstos na Lei Complementar n. 123, de 2006, estará dispensado da prova de inscrição nos cadastros de contribuintes estadual e municipal.</w:t>
      </w:r>
    </w:p>
    <w:p w14:paraId="00000119"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sdt>
        <w:sdtPr>
          <w:tag w:val="goog_rdk_1"/>
          <w:id w:val="-1149684711"/>
        </w:sdtPr>
        <w:sdtContent>
          <w:commentRangeStart w:id="18"/>
        </w:sdtContent>
      </w:sdt>
      <w:sdt>
        <w:sdtPr>
          <w:tag w:val="goog_rdk_2"/>
          <w:id w:val="-423169273"/>
        </w:sdtPr>
        <w:sdtContent>
          <w:commentRangeStart w:id="19"/>
        </w:sdtContent>
      </w:sdt>
      <w:r>
        <w:rPr>
          <w:rFonts w:ascii="Arial" w:eastAsia="Arial" w:hAnsi="Arial" w:cs="Arial"/>
          <w:b/>
          <w:bCs/>
          <w:sz w:val="20"/>
          <w:szCs w:val="20"/>
        </w:rPr>
        <w:t>Qualificação Técnica</w:t>
      </w:r>
      <w:commentRangeEnd w:id="18"/>
      <w:r>
        <w:rPr>
          <w:rStyle w:val="Refdecomentrio"/>
          <w:rFonts w:ascii="Arial" w:eastAsia="Arial" w:hAnsi="Arial" w:cs="Arial"/>
          <w:b/>
          <w:bCs/>
          <w:sz w:val="20"/>
          <w:szCs w:val="20"/>
        </w:rPr>
        <w:commentReference w:id="18"/>
      </w:r>
      <w:commentRangeEnd w:id="19"/>
      <w:r>
        <w:rPr>
          <w:rStyle w:val="Refdecomentrio"/>
          <w:rFonts w:ascii="Arial" w:eastAsia="Arial" w:hAnsi="Arial" w:cs="Arial"/>
          <w:b/>
          <w:bCs/>
          <w:sz w:val="20"/>
          <w:szCs w:val="20"/>
        </w:rPr>
        <w:commentReference w:id="19"/>
      </w:r>
    </w:p>
    <w:p w14:paraId="0000011A"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 xml:space="preserve">A empresa deverá apresentar atestado de capacidade técnica que comprove o fornecimento de bens compatíveis com o objeto desta contratação, emitido por pessoa jurídica de direito público ou privado.  </w:t>
      </w:r>
    </w:p>
    <w:p w14:paraId="0000011B"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Os equipamentos ofertados deverão possuir registro ou cadastro junto à Agência Nacional de Vigilância Sanitária (ANVISA), quando aplicável, em conformidade com a legislação vigente.</w:t>
      </w:r>
    </w:p>
    <w:p w14:paraId="0000011C" w14:textId="77777777" w:rsidR="00FE4CA3" w:rsidRDefault="00000000">
      <w:pPr>
        <w:pBdr>
          <w:top w:val="nil"/>
          <w:left w:val="nil"/>
          <w:bottom w:val="nil"/>
          <w:right w:val="nil"/>
          <w:between w:val="nil"/>
        </w:pBdr>
        <w:spacing w:before="120" w:after="120" w:line="276" w:lineRule="auto"/>
        <w:ind w:left="357" w:hanging="357"/>
        <w:jc w:val="both"/>
        <w:rPr>
          <w:rFonts w:ascii="Arial" w:eastAsia="Arial" w:hAnsi="Arial" w:cs="Arial"/>
          <w:b/>
          <w:bCs/>
          <w:sz w:val="20"/>
          <w:szCs w:val="20"/>
        </w:rPr>
      </w:pPr>
      <w:r>
        <w:rPr>
          <w:rFonts w:ascii="Arial" w:eastAsia="Arial" w:hAnsi="Arial" w:cs="Arial"/>
          <w:b/>
          <w:bCs/>
          <w:sz w:val="20"/>
          <w:szCs w:val="20"/>
        </w:rPr>
        <w:t>Disposições gerais sobre habilitação</w:t>
      </w:r>
    </w:p>
    <w:p w14:paraId="0000011D"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Quando permitida a participação de empresas estrangeiras que não funcionem no País, as exigências de habilitação serão atendidas mediante documentos equivalentes, inicialmente apresentados em tradução livre.</w:t>
      </w:r>
    </w:p>
    <w:p w14:paraId="0000011E"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Na hipótese de o fornecedor ser empresa estrangeira que não funcione no País, para assinatura do contrato ou da ata de registro de preços ou do aceite do instrumento equivalente, os documentos exigidos para a habilitação serão traduzidos por tradutor juramentado no País e apostilados nos termos do disposto no Decreto nº 8.660, de 29 de janeiro de 2016, ou de outro que venha a substituí-lo, ou consularizados pelos respectivos consulados ou embaixadas.</w:t>
      </w:r>
    </w:p>
    <w:p w14:paraId="0000011F"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Não serão aceitos documentos de habilitação com indicação de CNPJ/CPF diferentes, salvo aqueles legalmente permitidos.</w:t>
      </w:r>
    </w:p>
    <w:p w14:paraId="00000120"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Se o fornecedor for a matriz, todos os documentos deverão estar em nome da matriz, e se o fornecedor for a filial, todos os documentos deverão estar em nome da filial, exceto para atestados de capacidade técnica, e no caso daqueles documentos que, pela própria natureza, comprovadamente, forem emitidos somente em nome da matriz.</w:t>
      </w:r>
    </w:p>
    <w:p w14:paraId="00000121"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Serão aceitos registros de CNPJ de fornecedor matriz e filial com diferenças de números de documentos pertinentes ao CND e ao CRF/FGTS, quando for comprovada a centralização do recolhimento dessas contribuições.</w:t>
      </w:r>
    </w:p>
    <w:p w14:paraId="00000122" w14:textId="77777777" w:rsidR="00FE4CA3" w:rsidRDefault="00000000">
      <w:pPr>
        <w:numPr>
          <w:ilvl w:val="0"/>
          <w:numId w:val="1"/>
        </w:numPr>
        <w:pBdr>
          <w:top w:val="nil"/>
          <w:left w:val="nil"/>
          <w:bottom w:val="nil"/>
          <w:right w:val="nil"/>
          <w:between w:val="nil"/>
        </w:pBdr>
        <w:spacing w:before="360" w:after="120" w:line="276" w:lineRule="auto"/>
        <w:ind w:hanging="360"/>
        <w:jc w:val="both"/>
      </w:pPr>
      <w:r>
        <w:rPr>
          <w:rFonts w:ascii="Arial" w:eastAsia="Arial" w:hAnsi="Arial" w:cs="Arial"/>
          <w:b/>
          <w:bCs/>
          <w:sz w:val="20"/>
          <w:szCs w:val="20"/>
        </w:rPr>
        <w:t>ESTIMATIVAS DO VALOR DA CONTRATAÇÃO</w:t>
      </w:r>
    </w:p>
    <w:p w14:paraId="00000123"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lastRenderedPageBreak/>
        <w:t xml:space="preserve">O custo estimado total da contratação, que corresponde ao valor máximo aceitável, é de R$46.877,53 (quarenta e seis mil, oitocentos e setenta e sete reais e cinquenta e três centavos), conforme custos unitários apostos na </w:t>
      </w:r>
      <w:r>
        <w:rPr>
          <w:rFonts w:ascii="Arial" w:eastAsia="Arial" w:hAnsi="Arial" w:cs="Arial"/>
          <w:b/>
          <w:bCs/>
          <w:sz w:val="20"/>
          <w:szCs w:val="20"/>
        </w:rPr>
        <w:t>tabela contida no item 1.1 acima</w:t>
      </w:r>
      <w:r>
        <w:rPr>
          <w:rFonts w:ascii="Arial" w:eastAsia="Arial" w:hAnsi="Arial" w:cs="Arial"/>
          <w:sz w:val="20"/>
          <w:szCs w:val="20"/>
        </w:rPr>
        <w:t>.</w:t>
      </w:r>
    </w:p>
    <w:p w14:paraId="00000124" w14:textId="77777777" w:rsidR="00FE4CA3" w:rsidRDefault="00000000">
      <w:pPr>
        <w:numPr>
          <w:ilvl w:val="0"/>
          <w:numId w:val="1"/>
        </w:numPr>
        <w:pBdr>
          <w:top w:val="nil"/>
          <w:left w:val="nil"/>
          <w:bottom w:val="nil"/>
          <w:right w:val="nil"/>
          <w:between w:val="nil"/>
        </w:pBdr>
        <w:spacing w:before="360" w:after="120" w:line="276" w:lineRule="auto"/>
        <w:ind w:hanging="360"/>
        <w:jc w:val="both"/>
      </w:pPr>
      <w:r>
        <w:rPr>
          <w:rFonts w:ascii="Arial" w:eastAsia="Arial" w:hAnsi="Arial" w:cs="Arial"/>
          <w:b/>
          <w:bCs/>
          <w:sz w:val="20"/>
          <w:szCs w:val="20"/>
        </w:rPr>
        <w:t>ADEQUAÇÃO ORÇAMENTÁRIA</w:t>
      </w:r>
    </w:p>
    <w:p w14:paraId="00000125" w14:textId="77777777" w:rsidR="00FE4CA3" w:rsidRDefault="00000000">
      <w:pPr>
        <w:numPr>
          <w:ilvl w:val="1"/>
          <w:numId w:val="1"/>
        </w:numPr>
        <w:pBdr>
          <w:top w:val="nil"/>
          <w:left w:val="nil"/>
          <w:bottom w:val="nil"/>
          <w:right w:val="nil"/>
          <w:between w:val="nil"/>
        </w:pBdr>
        <w:spacing w:before="120" w:after="120" w:line="276" w:lineRule="auto"/>
        <w:jc w:val="both"/>
        <w:rPr>
          <w:sz w:val="20"/>
          <w:szCs w:val="20"/>
        </w:rPr>
      </w:pPr>
      <w:r>
        <w:rPr>
          <w:rFonts w:ascii="Arial" w:eastAsia="Arial" w:hAnsi="Arial" w:cs="Arial"/>
          <w:sz w:val="20"/>
          <w:szCs w:val="20"/>
        </w:rPr>
        <w:t>As despesas decorrentes da presente contratação correrão à conta de recursos específicos consignados no Orçamento Geral da União.</w:t>
      </w:r>
    </w:p>
    <w:p w14:paraId="00000126" w14:textId="77777777" w:rsidR="00FE4CA3" w:rsidRDefault="00000000">
      <w:pPr>
        <w:numPr>
          <w:ilvl w:val="1"/>
          <w:numId w:val="1"/>
        </w:numPr>
        <w:pBdr>
          <w:top w:val="nil"/>
          <w:left w:val="nil"/>
          <w:bottom w:val="nil"/>
          <w:right w:val="nil"/>
          <w:between w:val="nil"/>
        </w:pBdr>
        <w:spacing w:before="120" w:after="120" w:line="276" w:lineRule="auto"/>
        <w:jc w:val="both"/>
        <w:rPr>
          <w:color w:val="FF0000"/>
          <w:sz w:val="20"/>
          <w:szCs w:val="20"/>
        </w:rPr>
      </w:pPr>
      <w:r>
        <w:rPr>
          <w:rFonts w:ascii="Arial" w:eastAsia="Arial" w:hAnsi="Arial" w:cs="Arial"/>
          <w:color w:val="FF0000"/>
          <w:sz w:val="20"/>
          <w:szCs w:val="20"/>
        </w:rPr>
        <w:t>A contratação será atendida pela seguinte dotação:</w:t>
      </w:r>
    </w:p>
    <w:p w14:paraId="00000127" w14:textId="77777777" w:rsidR="00FE4CA3" w:rsidRDefault="00000000">
      <w:pPr>
        <w:numPr>
          <w:ilvl w:val="0"/>
          <w:numId w:val="4"/>
        </w:numPr>
        <w:pBdr>
          <w:top w:val="nil"/>
          <w:left w:val="nil"/>
          <w:bottom w:val="nil"/>
          <w:right w:val="nil"/>
          <w:between w:val="nil"/>
        </w:pBdr>
        <w:spacing w:before="120"/>
        <w:ind w:left="284" w:hanging="8"/>
        <w:jc w:val="both"/>
        <w:rPr>
          <w:rFonts w:ascii="Arial" w:eastAsia="Arial" w:hAnsi="Arial" w:cs="Arial"/>
          <w:color w:val="FF0000"/>
          <w:sz w:val="20"/>
          <w:szCs w:val="20"/>
        </w:rPr>
      </w:pPr>
      <w:r>
        <w:rPr>
          <w:rFonts w:ascii="Arial" w:eastAsia="Arial" w:hAnsi="Arial" w:cs="Arial"/>
          <w:color w:val="FF0000"/>
          <w:sz w:val="20"/>
          <w:szCs w:val="20"/>
        </w:rPr>
        <w:t>Gestão/unidade: [...];</w:t>
      </w:r>
    </w:p>
    <w:p w14:paraId="00000128" w14:textId="77777777" w:rsidR="00FE4CA3" w:rsidRDefault="00000000">
      <w:pPr>
        <w:numPr>
          <w:ilvl w:val="0"/>
          <w:numId w:val="4"/>
        </w:numPr>
        <w:pBdr>
          <w:top w:val="nil"/>
          <w:left w:val="nil"/>
          <w:bottom w:val="nil"/>
          <w:right w:val="nil"/>
          <w:between w:val="nil"/>
        </w:pBdr>
        <w:ind w:left="284" w:firstLine="0"/>
        <w:jc w:val="both"/>
        <w:rPr>
          <w:rFonts w:ascii="Arial" w:eastAsia="Arial" w:hAnsi="Arial" w:cs="Arial"/>
          <w:color w:val="FF0000"/>
          <w:sz w:val="20"/>
          <w:szCs w:val="20"/>
        </w:rPr>
      </w:pPr>
      <w:r>
        <w:rPr>
          <w:rFonts w:ascii="Arial" w:eastAsia="Arial" w:hAnsi="Arial" w:cs="Arial"/>
          <w:color w:val="FF0000"/>
          <w:sz w:val="20"/>
          <w:szCs w:val="20"/>
        </w:rPr>
        <w:t>Fonte de recursos: [...];</w:t>
      </w:r>
    </w:p>
    <w:p w14:paraId="00000129" w14:textId="77777777" w:rsidR="00FE4CA3" w:rsidRDefault="00000000">
      <w:pPr>
        <w:numPr>
          <w:ilvl w:val="0"/>
          <w:numId w:val="4"/>
        </w:numPr>
        <w:pBdr>
          <w:top w:val="nil"/>
          <w:left w:val="nil"/>
          <w:bottom w:val="nil"/>
          <w:right w:val="nil"/>
          <w:between w:val="nil"/>
        </w:pBdr>
        <w:ind w:left="284" w:firstLine="0"/>
        <w:jc w:val="both"/>
        <w:rPr>
          <w:rFonts w:ascii="Arial" w:eastAsia="Arial" w:hAnsi="Arial" w:cs="Arial"/>
          <w:color w:val="FF0000"/>
          <w:sz w:val="20"/>
          <w:szCs w:val="20"/>
        </w:rPr>
      </w:pPr>
      <w:r>
        <w:rPr>
          <w:rFonts w:ascii="Arial" w:eastAsia="Arial" w:hAnsi="Arial" w:cs="Arial"/>
          <w:color w:val="FF0000"/>
          <w:sz w:val="20"/>
          <w:szCs w:val="20"/>
        </w:rPr>
        <w:t>Programa de trabalho: [...];</w:t>
      </w:r>
    </w:p>
    <w:p w14:paraId="0000012A" w14:textId="77777777" w:rsidR="00FE4CA3" w:rsidRDefault="00000000">
      <w:pPr>
        <w:numPr>
          <w:ilvl w:val="0"/>
          <w:numId w:val="4"/>
        </w:numPr>
        <w:pBdr>
          <w:top w:val="nil"/>
          <w:left w:val="nil"/>
          <w:bottom w:val="nil"/>
          <w:right w:val="nil"/>
          <w:between w:val="nil"/>
        </w:pBdr>
        <w:ind w:left="284" w:firstLine="0"/>
        <w:jc w:val="both"/>
        <w:rPr>
          <w:rFonts w:ascii="Arial" w:eastAsia="Arial" w:hAnsi="Arial" w:cs="Arial"/>
          <w:color w:val="FF0000"/>
          <w:sz w:val="20"/>
          <w:szCs w:val="20"/>
        </w:rPr>
      </w:pPr>
      <w:r>
        <w:rPr>
          <w:rFonts w:ascii="Arial" w:eastAsia="Arial" w:hAnsi="Arial" w:cs="Arial"/>
          <w:color w:val="FF0000"/>
          <w:sz w:val="20"/>
          <w:szCs w:val="20"/>
        </w:rPr>
        <w:t>Elemento de despesa: [...]; e</w:t>
      </w:r>
    </w:p>
    <w:p w14:paraId="0000012B" w14:textId="77777777" w:rsidR="00FE4CA3" w:rsidRDefault="00000000">
      <w:pPr>
        <w:numPr>
          <w:ilvl w:val="0"/>
          <w:numId w:val="4"/>
        </w:numPr>
        <w:pBdr>
          <w:top w:val="nil"/>
          <w:left w:val="nil"/>
          <w:bottom w:val="nil"/>
          <w:right w:val="nil"/>
          <w:between w:val="nil"/>
        </w:pBdr>
        <w:spacing w:after="120"/>
        <w:ind w:left="284" w:firstLine="0"/>
        <w:jc w:val="both"/>
        <w:rPr>
          <w:color w:val="FF0000"/>
        </w:rPr>
      </w:pPr>
      <w:r>
        <w:rPr>
          <w:rFonts w:ascii="Arial" w:eastAsia="Arial" w:hAnsi="Arial" w:cs="Arial"/>
          <w:color w:val="FF0000"/>
          <w:sz w:val="20"/>
          <w:szCs w:val="20"/>
        </w:rPr>
        <w:t>Plano interno: [...].</w:t>
      </w:r>
    </w:p>
    <w:p w14:paraId="0000012C" w14:textId="77777777" w:rsidR="00FE4CA3" w:rsidRDefault="00000000">
      <w:pPr>
        <w:numPr>
          <w:ilvl w:val="0"/>
          <w:numId w:val="1"/>
        </w:numPr>
        <w:pBdr>
          <w:top w:val="nil"/>
          <w:left w:val="nil"/>
          <w:bottom w:val="nil"/>
          <w:right w:val="nil"/>
          <w:between w:val="nil"/>
        </w:pBdr>
        <w:spacing w:before="360" w:after="120" w:line="276" w:lineRule="auto"/>
        <w:ind w:hanging="360"/>
        <w:jc w:val="both"/>
      </w:pPr>
      <w:r>
        <w:rPr>
          <w:rFonts w:ascii="Arial" w:eastAsia="Arial" w:hAnsi="Arial" w:cs="Arial"/>
          <w:b/>
          <w:bCs/>
          <w:sz w:val="20"/>
          <w:szCs w:val="20"/>
        </w:rPr>
        <w:t>DISPOSIÇÕES FINAIS</w:t>
      </w:r>
    </w:p>
    <w:p w14:paraId="0000012D" w14:textId="77777777" w:rsidR="00FE4CA3" w:rsidRDefault="00000000">
      <w:pPr>
        <w:numPr>
          <w:ilvl w:val="1"/>
          <w:numId w:val="1"/>
        </w:numPr>
        <w:pBdr>
          <w:top w:val="nil"/>
          <w:left w:val="nil"/>
          <w:bottom w:val="nil"/>
          <w:right w:val="nil"/>
          <w:between w:val="nil"/>
        </w:pBdr>
        <w:spacing w:before="120" w:after="120" w:line="276" w:lineRule="auto"/>
        <w:jc w:val="both"/>
      </w:pPr>
      <w:r>
        <w:rPr>
          <w:rFonts w:ascii="Arial" w:eastAsia="Arial" w:hAnsi="Arial" w:cs="Arial"/>
          <w:sz w:val="20"/>
          <w:szCs w:val="20"/>
        </w:rPr>
        <w:t>As informações contidas neste Termo de Referência não são classificadas como sigilosas.</w:t>
      </w:r>
    </w:p>
    <w:p w14:paraId="0000012E" w14:textId="77777777" w:rsidR="00FE4CA3" w:rsidRDefault="00FE4CA3">
      <w:pPr>
        <w:pBdr>
          <w:top w:val="nil"/>
          <w:left w:val="nil"/>
          <w:bottom w:val="nil"/>
          <w:right w:val="nil"/>
          <w:between w:val="nil"/>
        </w:pBdr>
        <w:spacing w:before="120" w:after="120" w:line="276" w:lineRule="auto"/>
        <w:ind w:left="1709"/>
        <w:jc w:val="both"/>
        <w:rPr>
          <w:rFonts w:ascii="Arial" w:eastAsia="Arial" w:hAnsi="Arial" w:cs="Arial"/>
          <w:strike/>
          <w:sz w:val="20"/>
          <w:szCs w:val="20"/>
        </w:rPr>
      </w:pPr>
    </w:p>
    <w:p w14:paraId="0000012F" w14:textId="77777777" w:rsidR="00FE4CA3" w:rsidRDefault="00000000">
      <w:pPr>
        <w:pBdr>
          <w:top w:val="nil"/>
          <w:left w:val="nil"/>
          <w:bottom w:val="nil"/>
          <w:right w:val="nil"/>
          <w:between w:val="nil"/>
        </w:pBdr>
        <w:spacing w:before="120" w:after="120" w:line="276" w:lineRule="auto"/>
        <w:ind w:left="709"/>
        <w:jc w:val="both"/>
        <w:rPr>
          <w:rFonts w:ascii="Arial" w:eastAsia="Arial" w:hAnsi="Arial" w:cs="Arial"/>
          <w:sz w:val="20"/>
          <w:szCs w:val="20"/>
        </w:rPr>
      </w:pPr>
      <w:r>
        <w:rPr>
          <w:rFonts w:ascii="Arial" w:eastAsia="Arial" w:hAnsi="Arial" w:cs="Arial"/>
          <w:sz w:val="20"/>
          <w:szCs w:val="20"/>
        </w:rPr>
        <w:t>[Local], [dia] de [mês] de [ano].</w:t>
      </w:r>
    </w:p>
    <w:p w14:paraId="00000130" w14:textId="77777777" w:rsidR="00FE4CA3" w:rsidRDefault="00FE4CA3">
      <w:pPr>
        <w:pBdr>
          <w:top w:val="nil"/>
          <w:left w:val="nil"/>
          <w:bottom w:val="nil"/>
          <w:right w:val="nil"/>
          <w:between w:val="nil"/>
        </w:pBdr>
        <w:spacing w:before="120" w:after="120" w:line="276" w:lineRule="auto"/>
        <w:ind w:left="709"/>
        <w:jc w:val="both"/>
        <w:rPr>
          <w:rFonts w:ascii="Arial" w:eastAsia="Arial" w:hAnsi="Arial" w:cs="Arial"/>
          <w:sz w:val="20"/>
          <w:szCs w:val="20"/>
        </w:rPr>
      </w:pPr>
    </w:p>
    <w:p w14:paraId="00000131" w14:textId="77777777" w:rsidR="00FE4CA3" w:rsidRDefault="00FE4CA3">
      <w:pPr>
        <w:pBdr>
          <w:top w:val="nil"/>
          <w:left w:val="nil"/>
          <w:bottom w:val="nil"/>
          <w:right w:val="nil"/>
          <w:between w:val="nil"/>
        </w:pBdr>
        <w:spacing w:before="120" w:after="120" w:line="276" w:lineRule="auto"/>
        <w:ind w:left="709"/>
        <w:jc w:val="both"/>
        <w:rPr>
          <w:rFonts w:ascii="Arial" w:eastAsia="Arial" w:hAnsi="Arial" w:cs="Arial"/>
          <w:sz w:val="20"/>
          <w:szCs w:val="20"/>
        </w:rPr>
      </w:pPr>
    </w:p>
    <w:p w14:paraId="00000132" w14:textId="77777777" w:rsidR="00FE4CA3" w:rsidRDefault="00000000">
      <w:pPr>
        <w:spacing w:before="360" w:line="312" w:lineRule="auto"/>
        <w:ind w:firstLine="709"/>
        <w:jc w:val="center"/>
        <w:rPr>
          <w:rFonts w:ascii="Arial" w:eastAsia="Arial" w:hAnsi="Arial" w:cs="Arial"/>
          <w:sz w:val="20"/>
          <w:szCs w:val="20"/>
        </w:rPr>
      </w:pPr>
      <w:r>
        <w:rPr>
          <w:rFonts w:ascii="Arial" w:eastAsia="Arial" w:hAnsi="Arial" w:cs="Arial"/>
          <w:sz w:val="20"/>
          <w:szCs w:val="20"/>
        </w:rPr>
        <w:t>__________________________________</w:t>
      </w:r>
    </w:p>
    <w:p w14:paraId="00000133" w14:textId="77777777" w:rsidR="00FE4CA3" w:rsidRDefault="00000000">
      <w:pPr>
        <w:spacing w:after="288" w:line="312" w:lineRule="auto"/>
        <w:ind w:firstLine="709"/>
        <w:jc w:val="center"/>
        <w:rPr>
          <w:rFonts w:ascii="Arial" w:eastAsia="Arial" w:hAnsi="Arial" w:cs="Arial"/>
          <w:sz w:val="20"/>
          <w:szCs w:val="20"/>
        </w:rPr>
      </w:pPr>
      <w:r>
        <w:rPr>
          <w:rFonts w:ascii="Arial" w:eastAsia="Arial" w:hAnsi="Arial" w:cs="Arial"/>
          <w:sz w:val="20"/>
          <w:szCs w:val="20"/>
        </w:rPr>
        <w:t>Identificação e assinatura do servidor (ou equipe) responsável</w:t>
      </w:r>
    </w:p>
    <w:sectPr w:rsidR="00FE4CA3">
      <w:headerReference w:type="even" r:id="rId12"/>
      <w:headerReference w:type="default" r:id="rId13"/>
      <w:footerReference w:type="even" r:id="rId14"/>
      <w:footerReference w:type="default" r:id="rId15"/>
      <w:headerReference w:type="first" r:id="rId16"/>
      <w:footerReference w:type="first" r:id="rId17"/>
      <w:pgSz w:w="11906" w:h="16838"/>
      <w:pgMar w:top="1418" w:right="1134" w:bottom="1418" w:left="1134" w:header="709" w:footer="709"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 w:author="Autor" w:date="1970-01-01T00:00:00Z" w:initials="">
    <w:p w14:paraId="00000144" w14:textId="77777777" w:rsidR="00FE4CA3" w:rsidRDefault="003F666A">
      <w:pPr>
        <w:widowControl w:val="0"/>
        <w:pBdr>
          <w:top w:val="nil"/>
          <w:left w:val="nil"/>
          <w:bottom w:val="nil"/>
          <w:right w:val="nil"/>
          <w:between w:val="nil"/>
        </w:pBdr>
        <w:rPr>
          <w:rFonts w:ascii="Arial" w:eastAsia="Arial" w:hAnsi="Arial" w:cs="Arial"/>
          <w:color w:val="000000"/>
          <w:sz w:val="22"/>
          <w:szCs w:val="22"/>
        </w:rPr>
      </w:pPr>
      <w:r>
        <w:rPr>
          <w:rStyle w:val="Refdecomentrio"/>
        </w:rPr>
        <w:annotationRef/>
      </w:r>
      <w:r w:rsidR="00000000">
        <w:rPr>
          <w:rFonts w:ascii="Arial" w:eastAsia="Arial" w:hAnsi="Arial" w:cs="Arial"/>
          <w:color w:val="000000"/>
          <w:sz w:val="22"/>
          <w:szCs w:val="22"/>
        </w:rPr>
        <w:t>Nota Explicativa 1: Os prazos e percentuais para a aplicação da multa moratória em caso de atraso na apresentação da garantia são aqueles indicados nas alíneas "e" e "f" do item 3.1 do Anexo VII-F da Instrução Normativa SEGES/MP n.º 05/2017, cuja aplicação aos processos regidos pela Lei n.º 14.133, de 2021, foi autorizada pela Instrução Normativa SEGES/ME nº 98, de 26 de dezembro de 2022.</w:t>
      </w:r>
    </w:p>
    <w:p w14:paraId="00000145" w14:textId="77777777" w:rsidR="00FE4CA3" w:rsidRDefault="00FE4CA3">
      <w:pPr>
        <w:widowControl w:val="0"/>
        <w:pBdr>
          <w:top w:val="nil"/>
          <w:left w:val="nil"/>
          <w:bottom w:val="nil"/>
          <w:right w:val="nil"/>
          <w:between w:val="nil"/>
        </w:pBdr>
        <w:rPr>
          <w:rFonts w:ascii="Arial" w:eastAsia="Arial" w:hAnsi="Arial" w:cs="Arial"/>
          <w:color w:val="000000"/>
          <w:sz w:val="22"/>
          <w:szCs w:val="22"/>
        </w:rPr>
      </w:pPr>
    </w:p>
    <w:p w14:paraId="00000146" w14:textId="77777777" w:rsidR="00FE4CA3" w:rsidRDefault="00000000">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Nota Explicativa 2: Recomenda-se suprimir a sanção relativa à apresentação, reposição ou suplementação da garantia caso esta não seja exigida para a contratação.</w:t>
      </w:r>
    </w:p>
  </w:comment>
  <w:comment w:id="18" w:author="Camila Nunes" w:date="2026-04-28T23:01:00Z" w:initials="">
    <w:p w14:paraId="00000143" w14:textId="77777777" w:rsidR="00FE4CA3" w:rsidRDefault="003F666A">
      <w:pPr>
        <w:widowControl w:val="0"/>
        <w:pBdr>
          <w:top w:val="nil"/>
          <w:left w:val="nil"/>
          <w:bottom w:val="nil"/>
          <w:right w:val="nil"/>
          <w:between w:val="nil"/>
        </w:pBdr>
        <w:rPr>
          <w:rFonts w:ascii="Arial" w:eastAsia="Arial" w:hAnsi="Arial" w:cs="Arial"/>
          <w:color w:val="000000"/>
          <w:sz w:val="22"/>
          <w:szCs w:val="22"/>
        </w:rPr>
      </w:pPr>
      <w:r>
        <w:rPr>
          <w:rStyle w:val="Refdecomentrio"/>
        </w:rPr>
        <w:annotationRef/>
      </w:r>
      <w:r w:rsidR="00000000">
        <w:rPr>
          <w:rFonts w:ascii="Arial" w:eastAsia="Arial" w:hAnsi="Arial" w:cs="Arial"/>
          <w:color w:val="000000"/>
          <w:sz w:val="22"/>
          <w:szCs w:val="22"/>
        </w:rPr>
        <w:t>SE TIVER EM ALGUM TR POSSO COLOCAR SEMELHANTE, SE NÃO TIVER POSSO TAXAR A QUALIFICAÇÃO TÉCNICA</w:t>
      </w:r>
    </w:p>
  </w:comment>
  <w:comment w:id="19" w:author="Autor" w:date="1970-01-01T00:00:00Z" w:initials="">
    <w:p w14:paraId="00000140" w14:textId="77777777" w:rsidR="00FE4CA3" w:rsidRDefault="003F666A">
      <w:pPr>
        <w:widowControl w:val="0"/>
        <w:pBdr>
          <w:top w:val="nil"/>
          <w:left w:val="nil"/>
          <w:bottom w:val="nil"/>
          <w:right w:val="nil"/>
          <w:between w:val="nil"/>
        </w:pBdr>
        <w:rPr>
          <w:rFonts w:ascii="Arial" w:eastAsia="Arial" w:hAnsi="Arial" w:cs="Arial"/>
          <w:color w:val="000000"/>
          <w:sz w:val="22"/>
          <w:szCs w:val="22"/>
        </w:rPr>
      </w:pPr>
      <w:r>
        <w:rPr>
          <w:rStyle w:val="Refdecomentrio"/>
        </w:rPr>
        <w:annotationRef/>
      </w:r>
      <w:r w:rsidR="00000000">
        <w:rPr>
          <w:rFonts w:ascii="Arial" w:eastAsia="Arial" w:hAnsi="Arial" w:cs="Arial"/>
          <w:color w:val="000000"/>
          <w:sz w:val="22"/>
          <w:szCs w:val="22"/>
        </w:rPr>
        <w:t>Nota Explicativa 1: Além de avaliar a pertinência de exigir qualificação técnica, o rigor das exigências também deve ser avaliado, promovendo-se adaptações pela área demandante em face do tipo de contratação que se pretende fazer. A redação ora apresentada visa a dispor sobre as possibilidades gerais trazidas pela lei, mas a área competente do órgão contratante deverá, NECESSARIAMENTE, ajustar TODAS as cláusulas aqui presentes à realidade de sua demanda específica, com base em justificativa do ETP.</w:t>
      </w:r>
    </w:p>
    <w:p w14:paraId="00000141" w14:textId="77777777" w:rsidR="00FE4CA3" w:rsidRDefault="00FE4CA3">
      <w:pPr>
        <w:widowControl w:val="0"/>
        <w:pBdr>
          <w:top w:val="nil"/>
          <w:left w:val="nil"/>
          <w:bottom w:val="nil"/>
          <w:right w:val="nil"/>
          <w:between w:val="nil"/>
        </w:pBdr>
        <w:rPr>
          <w:rFonts w:ascii="Arial" w:eastAsia="Arial" w:hAnsi="Arial" w:cs="Arial"/>
          <w:color w:val="000000"/>
          <w:sz w:val="22"/>
          <w:szCs w:val="22"/>
        </w:rPr>
      </w:pPr>
    </w:p>
    <w:p w14:paraId="00000142" w14:textId="77777777" w:rsidR="00FE4CA3" w:rsidRDefault="00000000">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Nota Explicativa 2: Conforme exposto na Nota Explicativa sobre os requisitos da contratação – vistoria –, essa declaração só deve ser exigida caso tenha sido considerada imprescindível a avaliação prévia do local de execução para o conhecimento pleno das condições e peculiaridades do objeto a ser contratado.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146" w15:done="0"/>
  <w15:commentEx w15:paraId="00000143" w15:done="0"/>
  <w15:commentEx w15:paraId="0000014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146" w16cid:durableId="00000146"/>
  <w16cid:commentId w16cid:paraId="00000143" w16cid:durableId="00000143"/>
  <w16cid:commentId w16cid:paraId="00000142" w16cid:durableId="0000014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267C5" w14:textId="77777777" w:rsidR="00C67C4A" w:rsidRDefault="00C67C4A">
      <w:r>
        <w:separator/>
      </w:r>
    </w:p>
  </w:endnote>
  <w:endnote w:type="continuationSeparator" w:id="0">
    <w:p w14:paraId="3112516C" w14:textId="77777777" w:rsidR="00C67C4A" w:rsidRDefault="00C67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ofont_Spranq_eco_Sans">
    <w:altName w:val="Calibri"/>
    <w:charset w:val="00"/>
    <w:family w:val="auto"/>
    <w:pitch w:val="default"/>
  </w:font>
  <w:font w:name="Calibri">
    <w:panose1 w:val="020F0502020204030204"/>
    <w:charset w:val="00"/>
    <w:family w:val="swiss"/>
    <w:pitch w:val="variable"/>
    <w:sig w:usb0="E4002EFF" w:usb1="C000247B" w:usb2="00000009" w:usb3="00000000" w:csb0="000001FF" w:csb1="00000000"/>
    <w:embedRegular r:id="rId1" w:fontKey="{2CBC4DE1-24EC-4579-9C90-8EB43D4E1033}"/>
    <w:embedItalic r:id="rId2" w:fontKey="{922C6136-70A2-4C1C-BD74-70ECFBD32282}"/>
  </w:font>
  <w:font w:name="Georgia">
    <w:panose1 w:val="02040502050405020303"/>
    <w:charset w:val="00"/>
    <w:family w:val="roman"/>
    <w:pitch w:val="variable"/>
    <w:sig w:usb0="00000287" w:usb1="00000000" w:usb2="00000000" w:usb3="00000000" w:csb0="0000009F" w:csb1="00000000"/>
    <w:embedItalic r:id="rId3" w:fontKey="{9103AE9A-E33F-4A44-A6D9-254F077E975D}"/>
  </w:font>
  <w:font w:name="Cambria">
    <w:panose1 w:val="02040503050406030204"/>
    <w:charset w:val="00"/>
    <w:family w:val="roman"/>
    <w:pitch w:val="variable"/>
    <w:sig w:usb0="E00006FF" w:usb1="420024FF" w:usb2="02000000" w:usb3="00000000" w:csb0="0000019F" w:csb1="00000000"/>
    <w:embedRegular r:id="rId4" w:fontKey="{4FDB76CE-1D84-41E4-A5B2-B7FD779A51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F" w14:textId="77777777" w:rsidR="00FE4CA3" w:rsidRDefault="00FE4CA3">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7" w14:textId="77777777" w:rsidR="00FE4CA3" w:rsidRDefault="00000000">
    <w:pPr>
      <w:pBdr>
        <w:top w:val="nil"/>
        <w:left w:val="nil"/>
        <w:bottom w:val="nil"/>
        <w:right w:val="nil"/>
        <w:between w:val="nil"/>
      </w:pBdr>
      <w:tabs>
        <w:tab w:val="center" w:pos="4252"/>
        <w:tab w:val="right" w:pos="8504"/>
      </w:tabs>
      <w:rPr>
        <w:color w:val="548DD4"/>
        <w:sz w:val="16"/>
        <w:szCs w:val="16"/>
      </w:rPr>
    </w:pPr>
    <w:r>
      <w:rPr>
        <w:color w:val="548DD4"/>
        <w:sz w:val="22"/>
        <w:szCs w:val="22"/>
      </w:rPr>
      <w:tab/>
    </w:r>
    <w:r>
      <w:rPr>
        <w:color w:val="548DD4"/>
        <w:sz w:val="22"/>
        <w:szCs w:val="22"/>
      </w:rPr>
      <w:tab/>
    </w:r>
  </w:p>
  <w:p w14:paraId="00000138" w14:textId="3190E329" w:rsidR="00FE4CA3" w:rsidRDefault="00000000">
    <w:pPr>
      <w:pBdr>
        <w:top w:val="nil"/>
        <w:left w:val="nil"/>
        <w:bottom w:val="nil"/>
        <w:right w:val="nil"/>
        <w:between w:val="nil"/>
      </w:pBdr>
      <w:tabs>
        <w:tab w:val="center" w:pos="4252"/>
        <w:tab w:val="right" w:pos="8504"/>
      </w:tabs>
      <w:rPr>
        <w:rFonts w:ascii="Arial" w:eastAsia="Arial" w:hAnsi="Arial" w:cs="Arial"/>
        <w:color w:val="7F7F7F"/>
        <w:sz w:val="18"/>
        <w:szCs w:val="18"/>
      </w:rPr>
    </w:pPr>
    <w:r>
      <w:rPr>
        <w:color w:val="7F7F7F"/>
        <w:sz w:val="22"/>
        <w:szCs w:val="22"/>
      </w:rPr>
      <w:tab/>
    </w:r>
    <w:r>
      <w:rPr>
        <w:color w:val="7F7F7F"/>
        <w:sz w:val="22"/>
        <w:szCs w:val="22"/>
      </w:rPr>
      <w:tab/>
    </w:r>
    <w:r>
      <w:rPr>
        <w:rFonts w:ascii="Arial" w:eastAsia="Arial" w:hAnsi="Arial" w:cs="Arial"/>
        <w:color w:val="595959"/>
        <w:sz w:val="18"/>
        <w:szCs w:val="18"/>
      </w:rPr>
      <w:t xml:space="preserve">Página </w:t>
    </w:r>
    <w:r>
      <w:rPr>
        <w:rFonts w:ascii="Arial" w:eastAsia="Arial" w:hAnsi="Arial" w:cs="Arial"/>
        <w:color w:val="595959"/>
        <w:sz w:val="18"/>
        <w:szCs w:val="18"/>
      </w:rPr>
      <w:fldChar w:fldCharType="begin"/>
    </w:r>
    <w:r>
      <w:rPr>
        <w:rFonts w:ascii="Arial" w:eastAsia="Arial" w:hAnsi="Arial" w:cs="Arial"/>
        <w:color w:val="595959"/>
        <w:sz w:val="18"/>
        <w:szCs w:val="18"/>
      </w:rPr>
      <w:instrText>PAGE</w:instrText>
    </w:r>
    <w:r>
      <w:rPr>
        <w:rFonts w:ascii="Arial" w:eastAsia="Arial" w:hAnsi="Arial" w:cs="Arial"/>
        <w:color w:val="595959"/>
        <w:sz w:val="18"/>
        <w:szCs w:val="18"/>
      </w:rPr>
      <w:fldChar w:fldCharType="separate"/>
    </w:r>
    <w:r w:rsidR="003F666A">
      <w:rPr>
        <w:rFonts w:ascii="Arial" w:eastAsia="Arial" w:hAnsi="Arial" w:cs="Arial"/>
        <w:noProof/>
        <w:color w:val="595959"/>
        <w:sz w:val="18"/>
        <w:szCs w:val="18"/>
      </w:rPr>
      <w:t>1</w:t>
    </w:r>
    <w:r>
      <w:rPr>
        <w:rFonts w:ascii="Arial" w:eastAsia="Arial" w:hAnsi="Arial" w:cs="Arial"/>
        <w:color w:val="595959"/>
        <w:sz w:val="18"/>
        <w:szCs w:val="18"/>
      </w:rPr>
      <w:fldChar w:fldCharType="end"/>
    </w:r>
    <w:r>
      <w:rPr>
        <w:rFonts w:ascii="Arial" w:eastAsia="Arial" w:hAnsi="Arial" w:cs="Arial"/>
        <w:color w:val="595959"/>
        <w:sz w:val="18"/>
        <w:szCs w:val="18"/>
      </w:rPr>
      <w:t xml:space="preserve"> | </w:t>
    </w:r>
    <w:r>
      <w:rPr>
        <w:rFonts w:ascii="Arial" w:eastAsia="Arial" w:hAnsi="Arial" w:cs="Arial"/>
        <w:color w:val="595959"/>
        <w:sz w:val="18"/>
        <w:szCs w:val="18"/>
      </w:rPr>
      <w:fldChar w:fldCharType="begin"/>
    </w:r>
    <w:r>
      <w:rPr>
        <w:rFonts w:ascii="Arial" w:eastAsia="Arial" w:hAnsi="Arial" w:cs="Arial"/>
        <w:color w:val="595959"/>
        <w:sz w:val="18"/>
        <w:szCs w:val="18"/>
      </w:rPr>
      <w:instrText>NUMPAGES</w:instrText>
    </w:r>
    <w:r>
      <w:rPr>
        <w:rFonts w:ascii="Arial" w:eastAsia="Arial" w:hAnsi="Arial" w:cs="Arial"/>
        <w:color w:val="595959"/>
        <w:sz w:val="18"/>
        <w:szCs w:val="18"/>
      </w:rPr>
      <w:fldChar w:fldCharType="separate"/>
    </w:r>
    <w:r w:rsidR="003F666A">
      <w:rPr>
        <w:rFonts w:ascii="Arial" w:eastAsia="Arial" w:hAnsi="Arial" w:cs="Arial"/>
        <w:noProof/>
        <w:color w:val="595959"/>
        <w:sz w:val="18"/>
        <w:szCs w:val="18"/>
      </w:rPr>
      <w:t>2</w:t>
    </w:r>
    <w:r>
      <w:rPr>
        <w:rFonts w:ascii="Arial" w:eastAsia="Arial" w:hAnsi="Arial" w:cs="Arial"/>
        <w:color w:val="595959"/>
        <w:sz w:val="18"/>
        <w:szCs w:val="18"/>
      </w:rPr>
      <w:fldChar w:fldCharType="end"/>
    </w:r>
  </w:p>
  <w:p w14:paraId="00000139" w14:textId="77777777" w:rsidR="00FE4CA3" w:rsidRDefault="00000000">
    <w:pPr>
      <w:pBdr>
        <w:top w:val="nil"/>
        <w:left w:val="nil"/>
        <w:bottom w:val="nil"/>
        <w:right w:val="nil"/>
        <w:between w:val="nil"/>
      </w:pBdr>
      <w:tabs>
        <w:tab w:val="center" w:pos="4252"/>
        <w:tab w:val="right" w:pos="8504"/>
      </w:tabs>
      <w:rPr>
        <w:rFonts w:ascii="Arial" w:eastAsia="Arial" w:hAnsi="Arial" w:cs="Arial"/>
        <w:color w:val="000000"/>
        <w:sz w:val="14"/>
        <w:szCs w:val="14"/>
      </w:rPr>
    </w:pPr>
    <w:r>
      <w:rPr>
        <w:rFonts w:ascii="Arial" w:eastAsia="Arial" w:hAnsi="Arial" w:cs="Arial"/>
        <w:color w:val="000000"/>
        <w:sz w:val="14"/>
        <w:szCs w:val="14"/>
      </w:rPr>
      <w:t>Câmara Nacional de Modelos de Licitações e Contratos da Consultoria-Geral da União</w:t>
    </w:r>
  </w:p>
  <w:p w14:paraId="0000013A" w14:textId="77777777" w:rsidR="00FE4CA3" w:rsidRDefault="00000000">
    <w:pPr>
      <w:pBdr>
        <w:top w:val="nil"/>
        <w:left w:val="nil"/>
        <w:bottom w:val="nil"/>
        <w:right w:val="nil"/>
        <w:between w:val="nil"/>
      </w:pBdr>
      <w:tabs>
        <w:tab w:val="center" w:pos="4252"/>
        <w:tab w:val="right" w:pos="8504"/>
      </w:tabs>
      <w:rPr>
        <w:rFonts w:ascii="Arial" w:eastAsia="Arial" w:hAnsi="Arial" w:cs="Arial"/>
        <w:color w:val="0F243E"/>
        <w:sz w:val="14"/>
        <w:szCs w:val="14"/>
      </w:rPr>
    </w:pPr>
    <w:r>
      <w:rPr>
        <w:rFonts w:ascii="Arial" w:eastAsia="Arial" w:hAnsi="Arial" w:cs="Arial"/>
        <w:color w:val="000000"/>
        <w:sz w:val="14"/>
        <w:szCs w:val="14"/>
      </w:rPr>
      <w:t>Modelo de Termo de Referência – Aquisições – Licitação e Contratação Direta - Lei nº 14.133, de 2021</w:t>
    </w:r>
  </w:p>
  <w:p w14:paraId="0000013B" w14:textId="77777777" w:rsidR="00FE4CA3" w:rsidRDefault="00000000">
    <w:pPr>
      <w:pBdr>
        <w:top w:val="nil"/>
        <w:left w:val="nil"/>
        <w:bottom w:val="nil"/>
        <w:right w:val="nil"/>
        <w:between w:val="nil"/>
      </w:pBdr>
      <w:tabs>
        <w:tab w:val="center" w:pos="4252"/>
        <w:tab w:val="right" w:pos="8504"/>
      </w:tabs>
      <w:rPr>
        <w:rFonts w:ascii="Arial" w:eastAsia="Arial" w:hAnsi="Arial" w:cs="Arial"/>
        <w:color w:val="000000"/>
        <w:sz w:val="14"/>
        <w:szCs w:val="14"/>
      </w:rPr>
    </w:pPr>
    <w:r>
      <w:rPr>
        <w:rFonts w:ascii="Arial" w:eastAsia="Arial" w:hAnsi="Arial" w:cs="Arial"/>
        <w:color w:val="000000"/>
        <w:sz w:val="14"/>
        <w:szCs w:val="14"/>
      </w:rPr>
      <w:t>Aprovado pela Secretaria de Gestão e Inovação</w:t>
    </w:r>
  </w:p>
  <w:p w14:paraId="0000013C" w14:textId="77777777" w:rsidR="00FE4CA3" w:rsidRDefault="00000000">
    <w:pPr>
      <w:pBdr>
        <w:top w:val="nil"/>
        <w:left w:val="nil"/>
        <w:bottom w:val="nil"/>
        <w:right w:val="nil"/>
        <w:between w:val="nil"/>
      </w:pBdr>
      <w:tabs>
        <w:tab w:val="center" w:pos="4252"/>
        <w:tab w:val="right" w:pos="8504"/>
      </w:tabs>
      <w:rPr>
        <w:rFonts w:ascii="Arial" w:eastAsia="Arial" w:hAnsi="Arial" w:cs="Arial"/>
        <w:color w:val="000000"/>
        <w:sz w:val="14"/>
        <w:szCs w:val="14"/>
      </w:rPr>
    </w:pPr>
    <w:r>
      <w:rPr>
        <w:rFonts w:ascii="Arial" w:eastAsia="Arial" w:hAnsi="Arial" w:cs="Arial"/>
        <w:color w:val="000000"/>
        <w:sz w:val="14"/>
        <w:szCs w:val="14"/>
      </w:rPr>
      <w:t>Identidade visual pela Secretaria de Gestão e Inovação</w:t>
    </w:r>
  </w:p>
  <w:p w14:paraId="0000013D" w14:textId="77777777" w:rsidR="00FE4CA3" w:rsidRDefault="00000000">
    <w:pPr>
      <w:pBdr>
        <w:top w:val="nil"/>
        <w:left w:val="nil"/>
        <w:bottom w:val="nil"/>
        <w:right w:val="nil"/>
        <w:between w:val="nil"/>
      </w:pBdr>
      <w:tabs>
        <w:tab w:val="center" w:pos="4252"/>
        <w:tab w:val="right" w:pos="8504"/>
      </w:tabs>
      <w:rPr>
        <w:rFonts w:ascii="Arial" w:eastAsia="Arial" w:hAnsi="Arial" w:cs="Arial"/>
        <w:color w:val="000000"/>
        <w:sz w:val="14"/>
        <w:szCs w:val="14"/>
      </w:rPr>
    </w:pPr>
    <w:r>
      <w:rPr>
        <w:rFonts w:ascii="Arial" w:eastAsia="Arial" w:hAnsi="Arial" w:cs="Arial"/>
        <w:color w:val="000000"/>
        <w:sz w:val="14"/>
        <w:szCs w:val="14"/>
      </w:rPr>
      <w:t>Atualização: DEZ/2025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E" w14:textId="77777777" w:rsidR="00FE4CA3" w:rsidRDefault="00FE4CA3">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DB4BB" w14:textId="77777777" w:rsidR="00C67C4A" w:rsidRDefault="00C67C4A">
      <w:r>
        <w:separator/>
      </w:r>
    </w:p>
  </w:footnote>
  <w:footnote w:type="continuationSeparator" w:id="0">
    <w:p w14:paraId="71D4AC53" w14:textId="77777777" w:rsidR="00C67C4A" w:rsidRDefault="00C67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6" w14:textId="77777777" w:rsidR="00FE4CA3" w:rsidRDefault="00FE4CA3">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4" w14:textId="77777777" w:rsidR="00FE4CA3" w:rsidRDefault="00FE4CA3">
    <w:pPr>
      <w:pBdr>
        <w:top w:val="nil"/>
        <w:left w:val="nil"/>
        <w:bottom w:val="nil"/>
        <w:right w:val="nil"/>
        <w:between w:val="nil"/>
      </w:pBdr>
      <w:tabs>
        <w:tab w:val="center" w:pos="4252"/>
        <w:tab w:val="right" w:pos="8504"/>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5" w14:textId="77777777" w:rsidR="00FE4CA3" w:rsidRDefault="00FE4CA3">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CE1"/>
    <w:multiLevelType w:val="multilevel"/>
    <w:tmpl w:val="F7E6D45A"/>
    <w:lvl w:ilvl="0">
      <w:start w:val="1"/>
      <w:numFmt w:val="upperRoman"/>
      <w:lvlText w:val="%1)"/>
      <w:lvlJc w:val="left"/>
      <w:pPr>
        <w:ind w:left="2136" w:hanging="720"/>
      </w:p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1" w15:restartNumberingAfterBreak="0">
    <w:nsid w:val="309867CC"/>
    <w:multiLevelType w:val="multilevel"/>
    <w:tmpl w:val="7F126C00"/>
    <w:lvl w:ilvl="0">
      <w:start w:val="1"/>
      <w:numFmt w:val="upperRoman"/>
      <w:lvlText w:val="%1)"/>
      <w:lvlJc w:val="left"/>
      <w:pPr>
        <w:ind w:left="2136" w:hanging="720"/>
      </w:p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2" w15:restartNumberingAfterBreak="0">
    <w:nsid w:val="36EB1888"/>
    <w:multiLevelType w:val="multilevel"/>
    <w:tmpl w:val="921A58AA"/>
    <w:lvl w:ilvl="0">
      <w:start w:val="7"/>
      <w:numFmt w:val="decimal"/>
      <w:lvlText w:val="%1"/>
      <w:lvlJc w:val="left"/>
      <w:pPr>
        <w:ind w:left="790" w:hanging="790"/>
      </w:pPr>
    </w:lvl>
    <w:lvl w:ilvl="1">
      <w:start w:val="2"/>
      <w:numFmt w:val="decimal"/>
      <w:lvlText w:val="%1.%2"/>
      <w:lvlJc w:val="left"/>
      <w:pPr>
        <w:ind w:left="931" w:hanging="790"/>
      </w:pPr>
    </w:lvl>
    <w:lvl w:ilvl="2">
      <w:start w:val="4"/>
      <w:numFmt w:val="decimal"/>
      <w:lvlText w:val="%1.%2.%3"/>
      <w:lvlJc w:val="left"/>
      <w:pPr>
        <w:ind w:left="1072" w:hanging="790"/>
      </w:pPr>
    </w:lvl>
    <w:lvl w:ilvl="3">
      <w:start w:val="2"/>
      <w:numFmt w:val="decimal"/>
      <w:lvlText w:val="%1.%2.%3.%4"/>
      <w:lvlJc w:val="left"/>
      <w:pPr>
        <w:ind w:left="1213" w:hanging="790"/>
      </w:pPr>
    </w:lvl>
    <w:lvl w:ilvl="4">
      <w:start w:val="1"/>
      <w:numFmt w:val="decimal"/>
      <w:lvlText w:val="%1.%2.%3.%4.%5"/>
      <w:lvlJc w:val="left"/>
      <w:pPr>
        <w:ind w:left="1644" w:hanging="1080"/>
      </w:pPr>
    </w:lvl>
    <w:lvl w:ilvl="5">
      <w:start w:val="1"/>
      <w:numFmt w:val="decimal"/>
      <w:lvlText w:val="%1.%2.%3.%4.%5.%6"/>
      <w:lvlJc w:val="left"/>
      <w:pPr>
        <w:ind w:left="1785" w:hanging="1080"/>
      </w:pPr>
    </w:lvl>
    <w:lvl w:ilvl="6">
      <w:start w:val="1"/>
      <w:numFmt w:val="decimal"/>
      <w:lvlText w:val="%1.%2.%3.%4.%5.%6.%7"/>
      <w:lvlJc w:val="left"/>
      <w:pPr>
        <w:ind w:left="2286" w:hanging="1440"/>
      </w:pPr>
    </w:lvl>
    <w:lvl w:ilvl="7">
      <w:start w:val="1"/>
      <w:numFmt w:val="decimal"/>
      <w:lvlText w:val="%1.%2.%3.%4.%5.%6.%7.%8"/>
      <w:lvlJc w:val="left"/>
      <w:pPr>
        <w:ind w:left="2427" w:hanging="1440"/>
      </w:pPr>
    </w:lvl>
    <w:lvl w:ilvl="8">
      <w:start w:val="1"/>
      <w:numFmt w:val="decimal"/>
      <w:lvlText w:val="%1.%2.%3.%4.%5.%6.%7.%8.%9"/>
      <w:lvlJc w:val="left"/>
      <w:pPr>
        <w:ind w:left="2928" w:hanging="1800"/>
      </w:pPr>
    </w:lvl>
  </w:abstractNum>
  <w:abstractNum w:abstractNumId="3" w15:restartNumberingAfterBreak="0">
    <w:nsid w:val="66B324D6"/>
    <w:multiLevelType w:val="multilevel"/>
    <w:tmpl w:val="B86EF128"/>
    <w:lvl w:ilvl="0">
      <w:start w:val="1"/>
      <w:numFmt w:val="decimal"/>
      <w:lvlText w:val="%1."/>
      <w:lvlJc w:val="right"/>
      <w:pPr>
        <w:ind w:left="644" w:hanging="359"/>
      </w:pPr>
      <w:rPr>
        <w:rFonts w:ascii="Arial" w:eastAsia="Arial" w:hAnsi="Arial" w:cs="Arial"/>
        <w:b/>
        <w:bCs/>
        <w:sz w:val="20"/>
        <w:szCs w:val="20"/>
      </w:rPr>
    </w:lvl>
    <w:lvl w:ilvl="1">
      <w:start w:val="1"/>
      <w:numFmt w:val="decimal"/>
      <w:lvlText w:val="%1.%2."/>
      <w:lvlJc w:val="right"/>
      <w:pPr>
        <w:ind w:left="1709" w:hanging="432"/>
      </w:pPr>
      <w:rPr>
        <w:rFonts w:ascii="Arial" w:eastAsia="Arial" w:hAnsi="Arial" w:cs="Arial"/>
        <w:b w:val="0"/>
        <w:bCs w:val="0"/>
        <w:i w:val="0"/>
        <w:iCs w:val="0"/>
        <w:strike w:val="0"/>
        <w:color w:val="000000"/>
        <w:sz w:val="20"/>
        <w:szCs w:val="20"/>
        <w:u w:val="none"/>
      </w:rPr>
    </w:lvl>
    <w:lvl w:ilvl="2">
      <w:start w:val="1"/>
      <w:numFmt w:val="decimal"/>
      <w:lvlText w:val="%1.%2.%3."/>
      <w:lvlJc w:val="right"/>
      <w:pPr>
        <w:ind w:left="3624" w:hanging="504"/>
      </w:pPr>
      <w:rPr>
        <w:b w:val="0"/>
        <w:bCs w:val="0"/>
        <w:i w:val="0"/>
        <w:iCs w:val="0"/>
        <w:strike w:val="0"/>
        <w:color w:val="000000"/>
        <w:sz w:val="20"/>
        <w:szCs w:val="20"/>
      </w:rPr>
    </w:lvl>
    <w:lvl w:ilvl="3">
      <w:start w:val="1"/>
      <w:numFmt w:val="decimal"/>
      <w:lvlText w:val="%1.%2.%3.%4."/>
      <w:lvlJc w:val="right"/>
      <w:pPr>
        <w:ind w:left="3626" w:hanging="648"/>
      </w:pPr>
      <w:rPr>
        <w:shd w:val="clear" w:color="auto" w:fill="auto"/>
      </w:rPr>
    </w:lvl>
    <w:lvl w:ilvl="4">
      <w:start w:val="1"/>
      <w:numFmt w:val="decimal"/>
      <w:lvlText w:val="%1.%2.%3.%4.%5."/>
      <w:lvlJc w:val="right"/>
      <w:pPr>
        <w:ind w:left="3367" w:hanging="792"/>
      </w:pPr>
    </w:lvl>
    <w:lvl w:ilvl="5">
      <w:start w:val="1"/>
      <w:numFmt w:val="decimal"/>
      <w:lvlText w:val="%1.%2.%3.%4.%5.%6."/>
      <w:lvlJc w:val="right"/>
      <w:pPr>
        <w:ind w:left="3871" w:hanging="936"/>
      </w:pPr>
    </w:lvl>
    <w:lvl w:ilvl="6">
      <w:start w:val="1"/>
      <w:numFmt w:val="decimal"/>
      <w:lvlText w:val="%1.%2.%3.%4.%5.%6.%7."/>
      <w:lvlJc w:val="right"/>
      <w:pPr>
        <w:ind w:left="4375" w:hanging="1080"/>
      </w:pPr>
    </w:lvl>
    <w:lvl w:ilvl="7">
      <w:start w:val="1"/>
      <w:numFmt w:val="decimal"/>
      <w:lvlText w:val="%1.%2.%3.%4.%5.%6.%7.%8."/>
      <w:lvlJc w:val="right"/>
      <w:pPr>
        <w:ind w:left="4879" w:hanging="1224"/>
      </w:pPr>
    </w:lvl>
    <w:lvl w:ilvl="8">
      <w:start w:val="1"/>
      <w:numFmt w:val="decimal"/>
      <w:lvlText w:val="%1.%2.%3.%4.%5.%6.%7.%8.%9."/>
      <w:lvlJc w:val="right"/>
      <w:pPr>
        <w:ind w:left="5455" w:hanging="1440"/>
      </w:pPr>
    </w:lvl>
  </w:abstractNum>
  <w:abstractNum w:abstractNumId="4" w15:restartNumberingAfterBreak="0">
    <w:nsid w:val="6A405DBE"/>
    <w:multiLevelType w:val="multilevel"/>
    <w:tmpl w:val="2682D302"/>
    <w:lvl w:ilvl="0">
      <w:start w:val="1"/>
      <w:numFmt w:val="lowerLetter"/>
      <w:lvlText w:val="%1)"/>
      <w:lvlJc w:val="left"/>
      <w:pPr>
        <w:ind w:left="2130" w:hanging="360"/>
      </w:pPr>
    </w:lvl>
    <w:lvl w:ilvl="1">
      <w:start w:val="1"/>
      <w:numFmt w:val="lowerLetter"/>
      <w:lvlText w:val="%2."/>
      <w:lvlJc w:val="left"/>
      <w:pPr>
        <w:ind w:left="2850" w:hanging="360"/>
      </w:pPr>
    </w:lvl>
    <w:lvl w:ilvl="2">
      <w:start w:val="1"/>
      <w:numFmt w:val="lowerRoman"/>
      <w:lvlText w:val="%3."/>
      <w:lvlJc w:val="right"/>
      <w:pPr>
        <w:ind w:left="3570" w:hanging="180"/>
      </w:pPr>
    </w:lvl>
    <w:lvl w:ilvl="3">
      <w:start w:val="1"/>
      <w:numFmt w:val="decimal"/>
      <w:lvlText w:val="%4."/>
      <w:lvlJc w:val="left"/>
      <w:pPr>
        <w:ind w:left="4290" w:hanging="360"/>
      </w:pPr>
    </w:lvl>
    <w:lvl w:ilvl="4">
      <w:start w:val="1"/>
      <w:numFmt w:val="lowerLetter"/>
      <w:lvlText w:val="%5."/>
      <w:lvlJc w:val="left"/>
      <w:pPr>
        <w:ind w:left="5010" w:hanging="360"/>
      </w:pPr>
    </w:lvl>
    <w:lvl w:ilvl="5">
      <w:start w:val="1"/>
      <w:numFmt w:val="lowerRoman"/>
      <w:lvlText w:val="%6."/>
      <w:lvlJc w:val="right"/>
      <w:pPr>
        <w:ind w:left="5730" w:hanging="180"/>
      </w:pPr>
    </w:lvl>
    <w:lvl w:ilvl="6">
      <w:start w:val="1"/>
      <w:numFmt w:val="decimal"/>
      <w:lvlText w:val="%7."/>
      <w:lvlJc w:val="left"/>
      <w:pPr>
        <w:ind w:left="6450" w:hanging="360"/>
      </w:pPr>
    </w:lvl>
    <w:lvl w:ilvl="7">
      <w:start w:val="1"/>
      <w:numFmt w:val="lowerLetter"/>
      <w:lvlText w:val="%8."/>
      <w:lvlJc w:val="left"/>
      <w:pPr>
        <w:ind w:left="7170" w:hanging="360"/>
      </w:pPr>
    </w:lvl>
    <w:lvl w:ilvl="8">
      <w:start w:val="1"/>
      <w:numFmt w:val="lowerRoman"/>
      <w:lvlText w:val="%9."/>
      <w:lvlJc w:val="right"/>
      <w:pPr>
        <w:ind w:left="7890" w:hanging="180"/>
      </w:pPr>
    </w:lvl>
  </w:abstractNum>
  <w:num w:numId="1" w16cid:durableId="832379156">
    <w:abstractNumId w:val="3"/>
  </w:num>
  <w:num w:numId="2" w16cid:durableId="1014309541">
    <w:abstractNumId w:val="4"/>
  </w:num>
  <w:num w:numId="3" w16cid:durableId="943343602">
    <w:abstractNumId w:val="0"/>
  </w:num>
  <w:num w:numId="4" w16cid:durableId="974258898">
    <w:abstractNumId w:val="1"/>
  </w:num>
  <w:num w:numId="5" w16cid:durableId="82012021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mila Nunes">
    <w15:presenceInfo w15:providerId="Windows Live" w15:userId="1d348e67495587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CA3"/>
    <w:rsid w:val="003F666A"/>
    <w:rsid w:val="00AC4ED7"/>
    <w:rsid w:val="00C67C4A"/>
    <w:rsid w:val="00FE4CA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0AD1C"/>
  <w15:docId w15:val="{95D8B87B-61CA-4B37-A19C-606D72212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cofont_Spranq_eco_Sans" w:eastAsia="Ecofont_Spranq_eco_Sans" w:hAnsi="Ecofont_Spranq_eco_Sans" w:cs="Ecofont_Spranq_eco_Sans"/>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ind w:left="360" w:hanging="360"/>
      <w:outlineLvl w:val="0"/>
    </w:pPr>
    <w:rPr>
      <w:rFonts w:ascii="Arial" w:eastAsia="Arial" w:hAnsi="Arial" w:cs="Arial"/>
      <w:b/>
      <w:bCs/>
      <w:sz w:val="20"/>
      <w:szCs w:val="20"/>
    </w:rPr>
  </w:style>
  <w:style w:type="paragraph" w:styleId="Ttulo2">
    <w:name w:val="heading 2"/>
    <w:basedOn w:val="Normal"/>
    <w:next w:val="Normal"/>
    <w:uiPriority w:val="9"/>
    <w:semiHidden/>
    <w:unhideWhenUsed/>
    <w:qFormat/>
    <w:pPr>
      <w:keepNext/>
      <w:spacing w:before="120" w:after="120" w:line="276" w:lineRule="auto"/>
      <w:jc w:val="both"/>
      <w:outlineLvl w:val="1"/>
    </w:pPr>
    <w:rPr>
      <w:rFonts w:ascii="Arial" w:eastAsia="Arial" w:hAnsi="Arial" w:cs="Arial"/>
      <w:sz w:val="20"/>
      <w:szCs w:val="20"/>
    </w:rPr>
  </w:style>
  <w:style w:type="paragraph" w:styleId="Ttulo3">
    <w:name w:val="heading 3"/>
    <w:basedOn w:val="Normal"/>
    <w:next w:val="Normal"/>
    <w:uiPriority w:val="9"/>
    <w:semiHidden/>
    <w:unhideWhenUsed/>
    <w:qFormat/>
    <w:pPr>
      <w:keepNext/>
      <w:keepLines/>
      <w:spacing w:before="40" w:line="259" w:lineRule="auto"/>
      <w:outlineLvl w:val="2"/>
    </w:pPr>
    <w:rPr>
      <w:rFonts w:ascii="Calibri" w:eastAsia="Calibri" w:hAnsi="Calibri" w:cs="Calibri"/>
      <w:color w:val="243F61"/>
    </w:rPr>
  </w:style>
  <w:style w:type="paragraph" w:styleId="Ttulo4">
    <w:name w:val="heading 4"/>
    <w:basedOn w:val="Normal"/>
    <w:next w:val="Normal"/>
    <w:uiPriority w:val="9"/>
    <w:semiHidden/>
    <w:unhideWhenUsed/>
    <w:qFormat/>
    <w:pPr>
      <w:keepNext/>
      <w:keepLines/>
      <w:spacing w:before="40"/>
      <w:outlineLvl w:val="3"/>
    </w:pPr>
    <w:rPr>
      <w:rFonts w:ascii="Calibri" w:eastAsia="Calibri" w:hAnsi="Calibri" w:cs="Calibri"/>
      <w:i/>
      <w:iCs/>
      <w:color w:val="366091"/>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40" w:line="259" w:lineRule="auto"/>
      <w:outlineLvl w:val="5"/>
    </w:pPr>
    <w:rPr>
      <w:rFonts w:ascii="Calibri" w:eastAsia="Calibri" w:hAnsi="Calibri" w:cs="Calibri"/>
      <w:color w:val="243F61"/>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bottom w:val="single" w:sz="8" w:space="4" w:color="4F81BD"/>
      </w:pBdr>
      <w:spacing w:after="300"/>
    </w:pPr>
    <w:rPr>
      <w:rFonts w:ascii="Calibri" w:eastAsia="Calibri" w:hAnsi="Calibri" w:cs="Calibri"/>
      <w:color w:val="17365D"/>
      <w:sz w:val="52"/>
      <w:szCs w:val="5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HH+ssCe/YGw04Nxz0lFl5bcBjA==">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6137</Words>
  <Characters>33143</Characters>
  <Application>Microsoft Office Word</Application>
  <DocSecurity>0</DocSecurity>
  <Lines>276</Lines>
  <Paragraphs>78</Paragraphs>
  <ScaleCrop>false</ScaleCrop>
  <Company/>
  <LinksUpToDate>false</LinksUpToDate>
  <CharactersWithSpaces>39202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Camila Nunes</dc:creator>
  <cp:lastModifiedBy>Camila Nunes</cp:lastModifiedBy>
  <cp:revision>2</cp:revision>
  <dcterms:created xsi:type="dcterms:W3CDTF">2026-05-19T12:45:00Z</dcterms:created>
  <dcterms:modified xsi:type="dcterms:W3CDTF">2026-05-19T12:45:00Z</dcterms:modified>
</cp:coreProperties>
</file>